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A29" w:rsidRDefault="002B1A29" w:rsidP="00903E6E">
      <w:pPr>
        <w:spacing w:after="160" w:line="240" w:lineRule="auto"/>
        <w:contextualSpacing/>
        <w:jc w:val="center"/>
        <w:rPr>
          <w:rFonts w:ascii="Arial" w:hAnsi="Arial" w:cs="Arial"/>
          <w:b/>
          <w:sz w:val="24"/>
          <w:szCs w:val="24"/>
        </w:rPr>
      </w:pPr>
    </w:p>
    <w:p w:rsidR="002B1A29" w:rsidRDefault="002B1A29" w:rsidP="00903E6E">
      <w:pPr>
        <w:spacing w:after="160" w:line="240" w:lineRule="auto"/>
        <w:contextualSpacing/>
        <w:jc w:val="center"/>
        <w:rPr>
          <w:rFonts w:ascii="Arial" w:hAnsi="Arial" w:cs="Arial"/>
          <w:b/>
          <w:sz w:val="24"/>
          <w:szCs w:val="24"/>
        </w:rPr>
      </w:pPr>
    </w:p>
    <w:p w:rsidR="002B1A29" w:rsidRDefault="002B1A29" w:rsidP="00903E6E">
      <w:pPr>
        <w:spacing w:after="160" w:line="240" w:lineRule="auto"/>
        <w:contextualSpacing/>
        <w:jc w:val="center"/>
        <w:rPr>
          <w:rFonts w:ascii="Arial" w:hAnsi="Arial" w:cs="Arial"/>
          <w:b/>
          <w:sz w:val="24"/>
          <w:szCs w:val="24"/>
        </w:rPr>
      </w:pPr>
    </w:p>
    <w:p w:rsidR="002B1A29" w:rsidRDefault="002B1A29" w:rsidP="00903E6E">
      <w:pPr>
        <w:spacing w:after="160" w:line="240" w:lineRule="auto"/>
        <w:contextualSpacing/>
        <w:jc w:val="center"/>
        <w:rPr>
          <w:rFonts w:ascii="Arial" w:hAnsi="Arial" w:cs="Arial"/>
          <w:b/>
          <w:sz w:val="28"/>
          <w:szCs w:val="28"/>
        </w:rPr>
      </w:pPr>
    </w:p>
    <w:p w:rsidR="002B1A29" w:rsidRDefault="002B1A29" w:rsidP="00903E6E">
      <w:pPr>
        <w:spacing w:after="160" w:line="240" w:lineRule="auto"/>
        <w:contextualSpacing/>
        <w:jc w:val="center"/>
        <w:rPr>
          <w:rFonts w:ascii="Arial" w:hAnsi="Arial" w:cs="Arial"/>
          <w:b/>
          <w:sz w:val="28"/>
          <w:szCs w:val="28"/>
        </w:rPr>
      </w:pPr>
    </w:p>
    <w:p w:rsidR="002B1A29" w:rsidRDefault="002B1A29" w:rsidP="00903E6E">
      <w:pPr>
        <w:spacing w:after="160" w:line="240" w:lineRule="auto"/>
        <w:contextualSpacing/>
        <w:jc w:val="center"/>
        <w:rPr>
          <w:rFonts w:ascii="Arial" w:hAnsi="Arial" w:cs="Arial"/>
          <w:b/>
          <w:sz w:val="28"/>
          <w:szCs w:val="28"/>
        </w:rPr>
      </w:pPr>
    </w:p>
    <w:p w:rsidR="002B1A29" w:rsidRDefault="002B1A29" w:rsidP="00903E6E">
      <w:pPr>
        <w:spacing w:after="160" w:line="240" w:lineRule="auto"/>
        <w:contextualSpacing/>
        <w:jc w:val="center"/>
        <w:rPr>
          <w:rFonts w:ascii="Arial" w:hAnsi="Arial" w:cs="Arial"/>
          <w:b/>
          <w:sz w:val="28"/>
          <w:szCs w:val="28"/>
        </w:rPr>
      </w:pPr>
    </w:p>
    <w:p w:rsidR="002B1A29" w:rsidRPr="00903E6E" w:rsidRDefault="002B1A29" w:rsidP="00903E6E">
      <w:pPr>
        <w:spacing w:after="160" w:line="240" w:lineRule="auto"/>
        <w:contextualSpacing/>
        <w:jc w:val="center"/>
        <w:rPr>
          <w:rFonts w:ascii="Arial" w:hAnsi="Arial" w:cs="Arial"/>
          <w:b/>
          <w:sz w:val="28"/>
          <w:szCs w:val="28"/>
        </w:rPr>
      </w:pPr>
    </w:p>
    <w:p w:rsidR="002B1A29" w:rsidRPr="00903E6E" w:rsidRDefault="002B1A29" w:rsidP="00903E6E">
      <w:pPr>
        <w:spacing w:after="160" w:line="240" w:lineRule="auto"/>
        <w:contextualSpacing/>
        <w:jc w:val="center"/>
        <w:rPr>
          <w:rFonts w:ascii="Arial" w:hAnsi="Arial" w:cs="Arial"/>
          <w:b/>
          <w:sz w:val="28"/>
          <w:szCs w:val="28"/>
        </w:rPr>
      </w:pPr>
    </w:p>
    <w:p w:rsidR="002B1A29" w:rsidRDefault="002B1A29" w:rsidP="00903E6E">
      <w:pPr>
        <w:spacing w:after="160" w:line="240" w:lineRule="auto"/>
        <w:contextualSpacing/>
        <w:jc w:val="center"/>
        <w:rPr>
          <w:rFonts w:ascii="Arial" w:hAnsi="Arial" w:cs="Arial"/>
          <w:b/>
          <w:sz w:val="28"/>
          <w:szCs w:val="28"/>
        </w:rPr>
      </w:pPr>
    </w:p>
    <w:p w:rsidR="002B1A29" w:rsidRDefault="002B1A29" w:rsidP="00903E6E">
      <w:pPr>
        <w:spacing w:after="160" w:line="240" w:lineRule="auto"/>
        <w:contextualSpacing/>
        <w:jc w:val="center"/>
        <w:rPr>
          <w:rFonts w:ascii="Arial" w:hAnsi="Arial" w:cs="Arial"/>
          <w:b/>
          <w:sz w:val="28"/>
          <w:szCs w:val="28"/>
        </w:rPr>
      </w:pPr>
    </w:p>
    <w:p w:rsidR="002B1A29" w:rsidRPr="00903E6E" w:rsidRDefault="002B1A29" w:rsidP="00903E6E">
      <w:pPr>
        <w:spacing w:after="160" w:line="240" w:lineRule="auto"/>
        <w:contextualSpacing/>
        <w:jc w:val="center"/>
        <w:rPr>
          <w:rFonts w:ascii="Arial" w:hAnsi="Arial" w:cs="Arial"/>
          <w:b/>
          <w:sz w:val="28"/>
          <w:szCs w:val="28"/>
        </w:rPr>
      </w:pPr>
      <w:bookmarkStart w:id="0" w:name="_GoBack"/>
      <w:bookmarkEnd w:id="0"/>
      <w:r w:rsidRPr="00903E6E">
        <w:rPr>
          <w:rFonts w:ascii="Arial" w:hAnsi="Arial" w:cs="Arial"/>
          <w:b/>
          <w:sz w:val="28"/>
          <w:szCs w:val="28"/>
        </w:rPr>
        <w:t>SUPPLEMENTARY MATERIAL</w:t>
      </w:r>
    </w:p>
    <w:p w:rsidR="002B1A29" w:rsidRPr="00903E6E" w:rsidRDefault="002B1A29" w:rsidP="00903E6E">
      <w:pPr>
        <w:spacing w:after="160" w:line="240" w:lineRule="auto"/>
        <w:contextualSpacing/>
        <w:jc w:val="center"/>
        <w:rPr>
          <w:rFonts w:ascii="Arial" w:hAnsi="Arial" w:cs="Arial"/>
          <w:b/>
          <w:sz w:val="28"/>
          <w:szCs w:val="28"/>
        </w:rPr>
      </w:pPr>
    </w:p>
    <w:p w:rsidR="002B1A29" w:rsidRPr="00903E6E" w:rsidRDefault="002B1A29" w:rsidP="00903E6E">
      <w:pPr>
        <w:spacing w:after="160" w:line="240" w:lineRule="auto"/>
        <w:contextualSpacing/>
        <w:jc w:val="center"/>
        <w:rPr>
          <w:rFonts w:ascii="Arial" w:hAnsi="Arial" w:cs="Arial"/>
          <w:b/>
          <w:sz w:val="28"/>
          <w:szCs w:val="28"/>
        </w:rPr>
      </w:pPr>
    </w:p>
    <w:p w:rsidR="002B1A29" w:rsidRPr="00903E6E" w:rsidRDefault="002B1A29" w:rsidP="00903E6E">
      <w:pPr>
        <w:spacing w:after="160" w:line="240" w:lineRule="auto"/>
        <w:contextualSpacing/>
        <w:jc w:val="center"/>
        <w:rPr>
          <w:rFonts w:ascii="Arial" w:hAnsi="Arial" w:cs="Arial"/>
          <w:b/>
          <w:sz w:val="28"/>
          <w:szCs w:val="28"/>
        </w:rPr>
      </w:pPr>
    </w:p>
    <w:p w:rsidR="002B1A29" w:rsidRPr="00903E6E" w:rsidRDefault="002B1A29" w:rsidP="00903E6E">
      <w:pPr>
        <w:spacing w:after="160" w:line="240" w:lineRule="auto"/>
        <w:contextualSpacing/>
        <w:jc w:val="center"/>
        <w:rPr>
          <w:rFonts w:ascii="Arial" w:eastAsiaTheme="minorHAnsi" w:hAnsi="Arial" w:cs="Arial"/>
          <w:b/>
          <w:sz w:val="28"/>
          <w:szCs w:val="28"/>
        </w:rPr>
      </w:pPr>
      <w:r w:rsidRPr="00903E6E">
        <w:rPr>
          <w:rFonts w:ascii="Arial" w:eastAsiaTheme="minorHAnsi" w:hAnsi="Arial" w:cs="Arial"/>
          <w:b/>
          <w:sz w:val="28"/>
          <w:szCs w:val="28"/>
        </w:rPr>
        <w:t xml:space="preserve">Melatonin mediates seasonal transitions in aggressive behavior </w:t>
      </w:r>
      <w:r>
        <w:rPr>
          <w:rFonts w:ascii="Arial" w:eastAsiaTheme="minorHAnsi" w:hAnsi="Arial" w:cs="Arial"/>
          <w:b/>
          <w:sz w:val="28"/>
          <w:szCs w:val="28"/>
        </w:rPr>
        <w:t xml:space="preserve">and circulating androgen profiles </w:t>
      </w:r>
      <w:r w:rsidRPr="00903E6E">
        <w:rPr>
          <w:rFonts w:ascii="Arial" w:eastAsiaTheme="minorHAnsi" w:hAnsi="Arial" w:cs="Arial"/>
          <w:b/>
          <w:sz w:val="28"/>
          <w:szCs w:val="28"/>
        </w:rPr>
        <w:t>in male Siberian hamsters</w:t>
      </w:r>
    </w:p>
    <w:p w:rsidR="002B1A29" w:rsidRPr="00903E6E" w:rsidRDefault="002B1A29" w:rsidP="00903E6E">
      <w:pPr>
        <w:spacing w:after="160" w:line="240" w:lineRule="auto"/>
        <w:contextualSpacing/>
        <w:jc w:val="center"/>
        <w:rPr>
          <w:rFonts w:ascii="Arial" w:eastAsiaTheme="minorHAnsi" w:hAnsi="Arial" w:cs="Arial"/>
          <w:b/>
          <w:sz w:val="32"/>
          <w:szCs w:val="32"/>
        </w:rPr>
      </w:pPr>
    </w:p>
    <w:p w:rsidR="002B1A29" w:rsidRPr="00903E6E" w:rsidRDefault="002B1A29" w:rsidP="00903E6E">
      <w:pPr>
        <w:spacing w:after="160" w:line="240" w:lineRule="auto"/>
        <w:contextualSpacing/>
        <w:jc w:val="center"/>
        <w:rPr>
          <w:rFonts w:ascii="Arial" w:eastAsiaTheme="minorHAnsi" w:hAnsi="Arial" w:cs="Arial"/>
          <w:b/>
          <w:sz w:val="24"/>
          <w:szCs w:val="24"/>
        </w:rPr>
      </w:pPr>
    </w:p>
    <w:p w:rsidR="002B1A29" w:rsidRDefault="002B1A29" w:rsidP="00903E6E">
      <w:pPr>
        <w:spacing w:after="160" w:line="240" w:lineRule="auto"/>
        <w:contextualSpacing/>
        <w:jc w:val="center"/>
        <w:rPr>
          <w:rFonts w:ascii="Arial" w:hAnsi="Arial" w:cs="Arial"/>
          <w:sz w:val="24"/>
          <w:szCs w:val="24"/>
        </w:rPr>
      </w:pPr>
      <w:r w:rsidRPr="00903E6E">
        <w:rPr>
          <w:rFonts w:ascii="Arial" w:hAnsi="Arial" w:cs="Arial"/>
          <w:sz w:val="24"/>
          <w:szCs w:val="24"/>
        </w:rPr>
        <w:t xml:space="preserve">Kathleen M. Munley*, Jessica E. </w:t>
      </w:r>
      <w:proofErr w:type="spellStart"/>
      <w:r w:rsidRPr="00903E6E">
        <w:rPr>
          <w:rFonts w:ascii="Arial" w:hAnsi="Arial" w:cs="Arial"/>
          <w:sz w:val="24"/>
          <w:szCs w:val="24"/>
        </w:rPr>
        <w:t>Deyoe</w:t>
      </w:r>
      <w:proofErr w:type="spellEnd"/>
      <w:r w:rsidRPr="00903E6E">
        <w:rPr>
          <w:rFonts w:ascii="Arial" w:hAnsi="Arial" w:cs="Arial"/>
          <w:sz w:val="24"/>
          <w:szCs w:val="24"/>
        </w:rPr>
        <w:t>, Clarissa C. Ren, &amp; Gregory E. Demas</w:t>
      </w:r>
    </w:p>
    <w:p w:rsidR="002B1A29" w:rsidRDefault="002B1A29" w:rsidP="00903E6E">
      <w:pPr>
        <w:spacing w:after="160" w:line="240" w:lineRule="auto"/>
        <w:contextualSpacing/>
        <w:jc w:val="center"/>
        <w:rPr>
          <w:rFonts w:ascii="Arial" w:hAnsi="Arial" w:cs="Arial"/>
          <w:sz w:val="24"/>
          <w:szCs w:val="24"/>
        </w:rPr>
      </w:pPr>
    </w:p>
    <w:p w:rsidR="002B1A29" w:rsidRPr="00903E6E" w:rsidRDefault="002B1A29" w:rsidP="00903E6E">
      <w:pPr>
        <w:spacing w:after="160" w:line="240" w:lineRule="auto"/>
        <w:contextualSpacing/>
        <w:jc w:val="center"/>
        <w:rPr>
          <w:rFonts w:ascii="Arial" w:hAnsi="Arial" w:cs="Arial"/>
          <w:sz w:val="24"/>
          <w:szCs w:val="24"/>
        </w:rPr>
      </w:pPr>
    </w:p>
    <w:p w:rsidR="002B1A29" w:rsidRPr="00903E6E" w:rsidRDefault="002B1A29" w:rsidP="00903E6E">
      <w:pPr>
        <w:spacing w:line="240" w:lineRule="auto"/>
        <w:contextualSpacing/>
        <w:jc w:val="center"/>
        <w:rPr>
          <w:rFonts w:ascii="Arial" w:hAnsi="Arial" w:cs="Arial"/>
          <w:i/>
          <w:sz w:val="24"/>
          <w:szCs w:val="24"/>
        </w:rPr>
      </w:pPr>
      <w:r w:rsidRPr="00903E6E">
        <w:rPr>
          <w:rFonts w:ascii="Arial" w:hAnsi="Arial" w:cs="Arial"/>
          <w:i/>
          <w:sz w:val="24"/>
          <w:szCs w:val="24"/>
        </w:rPr>
        <w:t>Department of Biology and Center for the Integrative Study of Animal Behavior, Indiana University, Bloomington, IN 47405, USA</w:t>
      </w:r>
    </w:p>
    <w:p w:rsidR="002B1A29" w:rsidRDefault="002B1A29" w:rsidP="00903E6E">
      <w:pPr>
        <w:spacing w:after="160" w:line="240" w:lineRule="auto"/>
        <w:contextualSpacing/>
        <w:jc w:val="center"/>
        <w:rPr>
          <w:rFonts w:ascii="Arial" w:hAnsi="Arial" w:cs="Arial"/>
          <w:sz w:val="24"/>
          <w:szCs w:val="24"/>
        </w:rPr>
      </w:pPr>
    </w:p>
    <w:p w:rsidR="002B1A29" w:rsidRDefault="002B1A29" w:rsidP="00903E6E">
      <w:pPr>
        <w:spacing w:after="160" w:line="240" w:lineRule="auto"/>
        <w:contextualSpacing/>
        <w:jc w:val="center"/>
        <w:rPr>
          <w:rFonts w:ascii="Arial" w:hAnsi="Arial" w:cs="Arial"/>
          <w:sz w:val="24"/>
          <w:szCs w:val="24"/>
        </w:rPr>
      </w:pPr>
    </w:p>
    <w:p w:rsidR="002B1A29" w:rsidRDefault="002B1A29" w:rsidP="00903E6E">
      <w:pPr>
        <w:spacing w:after="160" w:line="240" w:lineRule="auto"/>
        <w:contextualSpacing/>
        <w:jc w:val="center"/>
        <w:rPr>
          <w:rFonts w:ascii="Arial" w:hAnsi="Arial" w:cs="Arial"/>
          <w:sz w:val="24"/>
          <w:szCs w:val="24"/>
        </w:rPr>
      </w:pPr>
    </w:p>
    <w:p w:rsidR="002B1A29" w:rsidRDefault="002B1A29" w:rsidP="00903E6E">
      <w:pPr>
        <w:spacing w:after="160" w:line="240" w:lineRule="auto"/>
        <w:contextualSpacing/>
        <w:jc w:val="center"/>
        <w:rPr>
          <w:rFonts w:ascii="Arial" w:hAnsi="Arial" w:cs="Arial"/>
          <w:sz w:val="24"/>
          <w:szCs w:val="24"/>
        </w:rPr>
      </w:pPr>
    </w:p>
    <w:p w:rsidR="002B1A29" w:rsidRDefault="002B1A29" w:rsidP="00903E6E">
      <w:pPr>
        <w:spacing w:after="160" w:line="240" w:lineRule="auto"/>
        <w:contextualSpacing/>
        <w:jc w:val="center"/>
        <w:rPr>
          <w:rFonts w:ascii="Arial" w:hAnsi="Arial" w:cs="Arial"/>
          <w:sz w:val="24"/>
          <w:szCs w:val="24"/>
        </w:rPr>
      </w:pPr>
    </w:p>
    <w:p w:rsidR="002B1A29" w:rsidRDefault="002B1A29" w:rsidP="00903E6E">
      <w:pPr>
        <w:spacing w:after="160" w:line="240" w:lineRule="auto"/>
        <w:contextualSpacing/>
        <w:jc w:val="center"/>
        <w:rPr>
          <w:rFonts w:ascii="Arial" w:hAnsi="Arial" w:cs="Arial"/>
          <w:sz w:val="24"/>
          <w:szCs w:val="24"/>
        </w:rPr>
      </w:pPr>
    </w:p>
    <w:p w:rsidR="002B1A29" w:rsidRDefault="002B1A29" w:rsidP="00903E6E">
      <w:pPr>
        <w:spacing w:after="160" w:line="240" w:lineRule="auto"/>
        <w:contextualSpacing/>
        <w:jc w:val="center"/>
        <w:rPr>
          <w:rFonts w:ascii="Arial" w:hAnsi="Arial" w:cs="Arial"/>
          <w:sz w:val="24"/>
          <w:szCs w:val="24"/>
        </w:rPr>
      </w:pPr>
    </w:p>
    <w:p w:rsidR="002B1A29" w:rsidRDefault="002B1A29" w:rsidP="00903E6E">
      <w:pPr>
        <w:spacing w:after="160" w:line="240" w:lineRule="auto"/>
        <w:contextualSpacing/>
        <w:jc w:val="center"/>
        <w:rPr>
          <w:rFonts w:ascii="Arial" w:hAnsi="Arial" w:cs="Arial"/>
          <w:sz w:val="24"/>
          <w:szCs w:val="24"/>
        </w:rPr>
      </w:pPr>
    </w:p>
    <w:p w:rsidR="002B1A29" w:rsidRDefault="002B1A29" w:rsidP="00903E6E">
      <w:pPr>
        <w:spacing w:after="160" w:line="240" w:lineRule="auto"/>
        <w:contextualSpacing/>
        <w:jc w:val="center"/>
        <w:rPr>
          <w:rFonts w:ascii="Arial" w:hAnsi="Arial" w:cs="Arial"/>
          <w:sz w:val="24"/>
          <w:szCs w:val="24"/>
        </w:rPr>
      </w:pPr>
    </w:p>
    <w:p w:rsidR="002B1A29" w:rsidRDefault="002B1A29" w:rsidP="00903E6E">
      <w:pPr>
        <w:spacing w:after="160" w:line="240" w:lineRule="auto"/>
        <w:contextualSpacing/>
        <w:jc w:val="center"/>
        <w:rPr>
          <w:rFonts w:ascii="Arial" w:hAnsi="Arial" w:cs="Arial"/>
          <w:sz w:val="24"/>
          <w:szCs w:val="24"/>
        </w:rPr>
      </w:pPr>
    </w:p>
    <w:p w:rsidR="002B1A29" w:rsidRDefault="002B1A29" w:rsidP="00903E6E">
      <w:pPr>
        <w:spacing w:after="160" w:line="240" w:lineRule="auto"/>
        <w:contextualSpacing/>
        <w:jc w:val="center"/>
        <w:rPr>
          <w:rFonts w:ascii="Arial" w:hAnsi="Arial" w:cs="Arial"/>
          <w:sz w:val="24"/>
          <w:szCs w:val="24"/>
        </w:rPr>
      </w:pPr>
    </w:p>
    <w:p w:rsidR="002B1A29" w:rsidRDefault="002B1A29" w:rsidP="00903E6E">
      <w:pPr>
        <w:spacing w:after="160" w:line="240" w:lineRule="auto"/>
        <w:contextualSpacing/>
        <w:jc w:val="center"/>
        <w:rPr>
          <w:rFonts w:ascii="Arial" w:hAnsi="Arial" w:cs="Arial"/>
          <w:sz w:val="24"/>
          <w:szCs w:val="24"/>
        </w:rPr>
      </w:pPr>
    </w:p>
    <w:p w:rsidR="002B1A29" w:rsidRDefault="002B1A29" w:rsidP="00903E6E">
      <w:pPr>
        <w:spacing w:after="160" w:line="240" w:lineRule="auto"/>
        <w:contextualSpacing/>
        <w:jc w:val="center"/>
        <w:rPr>
          <w:rFonts w:ascii="Arial" w:hAnsi="Arial" w:cs="Arial"/>
          <w:sz w:val="24"/>
          <w:szCs w:val="24"/>
        </w:rPr>
      </w:pPr>
    </w:p>
    <w:p w:rsidR="002B1A29" w:rsidRDefault="002B1A29" w:rsidP="00903E6E">
      <w:pPr>
        <w:spacing w:after="160" w:line="240" w:lineRule="auto"/>
        <w:contextualSpacing/>
        <w:jc w:val="center"/>
        <w:rPr>
          <w:rFonts w:ascii="Arial" w:hAnsi="Arial" w:cs="Arial"/>
          <w:sz w:val="24"/>
          <w:szCs w:val="24"/>
        </w:rPr>
      </w:pPr>
    </w:p>
    <w:p w:rsidR="002B1A29" w:rsidRDefault="002B1A29" w:rsidP="00903E6E">
      <w:pPr>
        <w:spacing w:after="160" w:line="240" w:lineRule="auto"/>
        <w:contextualSpacing/>
        <w:jc w:val="center"/>
        <w:rPr>
          <w:rFonts w:ascii="Arial" w:hAnsi="Arial" w:cs="Arial"/>
          <w:sz w:val="24"/>
          <w:szCs w:val="24"/>
        </w:rPr>
      </w:pPr>
    </w:p>
    <w:p w:rsidR="002B1A29" w:rsidRDefault="002B1A29" w:rsidP="00903E6E">
      <w:pPr>
        <w:spacing w:after="160" w:line="240" w:lineRule="auto"/>
        <w:contextualSpacing/>
        <w:jc w:val="center"/>
        <w:rPr>
          <w:rFonts w:ascii="Arial" w:hAnsi="Arial" w:cs="Arial"/>
          <w:sz w:val="24"/>
          <w:szCs w:val="24"/>
        </w:rPr>
      </w:pPr>
    </w:p>
    <w:p w:rsidR="002B1A29" w:rsidRDefault="002B1A29" w:rsidP="00903E6E">
      <w:pPr>
        <w:spacing w:after="160" w:line="240" w:lineRule="auto"/>
        <w:contextualSpacing/>
        <w:jc w:val="center"/>
        <w:rPr>
          <w:rFonts w:ascii="Arial" w:hAnsi="Arial" w:cs="Arial"/>
          <w:sz w:val="24"/>
          <w:szCs w:val="24"/>
        </w:rPr>
      </w:pPr>
    </w:p>
    <w:p w:rsidR="002B1A29" w:rsidRDefault="002B1A29" w:rsidP="00903E6E">
      <w:pPr>
        <w:spacing w:after="160" w:line="240" w:lineRule="auto"/>
        <w:contextualSpacing/>
        <w:jc w:val="center"/>
        <w:rPr>
          <w:rFonts w:ascii="Arial" w:hAnsi="Arial" w:cs="Arial"/>
          <w:sz w:val="24"/>
          <w:szCs w:val="24"/>
        </w:rPr>
      </w:pPr>
    </w:p>
    <w:p w:rsidR="002B1A29" w:rsidRDefault="002B1A29" w:rsidP="00903E6E">
      <w:pPr>
        <w:spacing w:after="160" w:line="240" w:lineRule="auto"/>
        <w:contextualSpacing/>
        <w:jc w:val="center"/>
        <w:rPr>
          <w:rFonts w:ascii="Arial" w:hAnsi="Arial" w:cs="Arial"/>
          <w:sz w:val="24"/>
          <w:szCs w:val="24"/>
        </w:rPr>
      </w:pPr>
    </w:p>
    <w:p w:rsidR="002B1A29" w:rsidRDefault="002B1A29" w:rsidP="00903E6E">
      <w:pPr>
        <w:spacing w:after="160" w:line="360" w:lineRule="auto"/>
        <w:contextualSpacing/>
        <w:rPr>
          <w:rFonts w:ascii="Arial" w:hAnsi="Arial" w:cs="Arial"/>
          <w:b/>
          <w:sz w:val="24"/>
          <w:szCs w:val="24"/>
        </w:rPr>
      </w:pPr>
    </w:p>
    <w:p w:rsidR="002B1A29" w:rsidRDefault="002B1A29" w:rsidP="00903E6E">
      <w:pPr>
        <w:spacing w:after="160" w:line="360" w:lineRule="auto"/>
        <w:contextualSpacing/>
        <w:rPr>
          <w:rFonts w:ascii="Arial" w:hAnsi="Arial" w:cs="Arial"/>
          <w:b/>
          <w:sz w:val="24"/>
          <w:szCs w:val="24"/>
        </w:rPr>
      </w:pPr>
      <w:r>
        <w:rPr>
          <w:rFonts w:ascii="Arial" w:hAnsi="Arial" w:cs="Arial"/>
          <w:b/>
          <w:sz w:val="24"/>
          <w:szCs w:val="24"/>
        </w:rPr>
        <w:lastRenderedPageBreak/>
        <w:t>TABLES</w:t>
      </w:r>
    </w:p>
    <w:p w:rsidR="002B1A29" w:rsidRDefault="002B1A29" w:rsidP="00666ECA">
      <w:pPr>
        <w:spacing w:line="360" w:lineRule="auto"/>
        <w:contextualSpacing/>
        <w:rPr>
          <w:rFonts w:ascii="Arial" w:eastAsiaTheme="minorHAnsi" w:hAnsi="Arial" w:cs="Arial"/>
          <w:sz w:val="24"/>
          <w:szCs w:val="24"/>
        </w:rPr>
      </w:pPr>
      <w:r>
        <w:rPr>
          <w:rFonts w:ascii="Arial" w:eastAsiaTheme="minorHAnsi" w:hAnsi="Arial" w:cs="Arial"/>
          <w:b/>
          <w:sz w:val="24"/>
          <w:szCs w:val="24"/>
        </w:rPr>
        <w:t xml:space="preserve">Table S1. </w:t>
      </w:r>
      <w:r>
        <w:rPr>
          <w:rFonts w:ascii="Arial" w:eastAsiaTheme="minorHAnsi" w:hAnsi="Arial" w:cs="Arial"/>
          <w:sz w:val="24"/>
          <w:szCs w:val="24"/>
        </w:rPr>
        <w:t>Ethogram</w:t>
      </w:r>
      <w:r w:rsidRPr="00F437C8">
        <w:rPr>
          <w:rFonts w:ascii="Arial" w:eastAsiaTheme="minorHAnsi" w:hAnsi="Arial" w:cs="Arial"/>
          <w:sz w:val="24"/>
          <w:szCs w:val="24"/>
        </w:rPr>
        <w:t xml:space="preserve"> used to score </w:t>
      </w:r>
      <w:r>
        <w:rPr>
          <w:rFonts w:ascii="Arial" w:eastAsiaTheme="minorHAnsi" w:hAnsi="Arial" w:cs="Arial"/>
          <w:sz w:val="24"/>
          <w:szCs w:val="24"/>
        </w:rPr>
        <w:t xml:space="preserve">aggressive </w:t>
      </w:r>
      <w:r w:rsidRPr="00F437C8">
        <w:rPr>
          <w:rFonts w:ascii="Arial" w:eastAsiaTheme="minorHAnsi" w:hAnsi="Arial" w:cs="Arial"/>
          <w:sz w:val="24"/>
          <w:szCs w:val="24"/>
        </w:rPr>
        <w:t>and no</w:t>
      </w:r>
      <w:r>
        <w:rPr>
          <w:rFonts w:ascii="Arial" w:eastAsiaTheme="minorHAnsi" w:hAnsi="Arial" w:cs="Arial"/>
          <w:sz w:val="24"/>
          <w:szCs w:val="24"/>
        </w:rPr>
        <w:t>n-aggressive social behaviors in the resident-intruder paradigm</w:t>
      </w:r>
      <w:r w:rsidRPr="00F437C8">
        <w:rPr>
          <w:rFonts w:ascii="Arial" w:eastAsiaTheme="minorHAnsi" w:hAnsi="Arial" w:cs="Arial"/>
          <w:sz w:val="24"/>
          <w:szCs w:val="24"/>
        </w:rPr>
        <w:t xml:space="preserve"> (</w:t>
      </w:r>
      <w:r>
        <w:rPr>
          <w:rFonts w:ascii="Arial" w:eastAsiaTheme="minorHAnsi" w:hAnsi="Arial" w:cs="Arial"/>
          <w:sz w:val="24"/>
          <w:szCs w:val="24"/>
        </w:rPr>
        <w:t xml:space="preserve">adapted from </w:t>
      </w:r>
      <w:proofErr w:type="spellStart"/>
      <w:r w:rsidRPr="00F437C8">
        <w:rPr>
          <w:rFonts w:ascii="Arial" w:eastAsiaTheme="minorHAnsi" w:hAnsi="Arial" w:cs="Arial"/>
          <w:sz w:val="24"/>
          <w:szCs w:val="24"/>
        </w:rPr>
        <w:t>Jasnow</w:t>
      </w:r>
      <w:proofErr w:type="spellEnd"/>
      <w:r w:rsidRPr="00F437C8">
        <w:rPr>
          <w:rFonts w:ascii="Arial" w:eastAsiaTheme="minorHAnsi" w:hAnsi="Arial" w:cs="Arial"/>
          <w:sz w:val="24"/>
          <w:szCs w:val="24"/>
        </w:rPr>
        <w:t xml:space="preserve"> et al., 2000; </w:t>
      </w:r>
      <w:r>
        <w:rPr>
          <w:rFonts w:ascii="Arial" w:eastAsiaTheme="minorHAnsi" w:hAnsi="Arial" w:cs="Arial"/>
          <w:sz w:val="24"/>
          <w:szCs w:val="24"/>
        </w:rPr>
        <w:t xml:space="preserve">Scotti </w:t>
      </w:r>
      <w:r w:rsidRPr="00F437C8">
        <w:rPr>
          <w:rFonts w:ascii="Arial" w:eastAsiaTheme="minorHAnsi" w:hAnsi="Arial" w:cs="Arial"/>
          <w:sz w:val="24"/>
          <w:szCs w:val="24"/>
        </w:rPr>
        <w:t>et al., 2015).</w:t>
      </w:r>
    </w:p>
    <w:p w:rsidR="002B1A29" w:rsidRPr="00666ECA" w:rsidRDefault="002B1A29" w:rsidP="00666ECA">
      <w:pPr>
        <w:spacing w:line="360" w:lineRule="auto"/>
        <w:contextualSpacing/>
        <w:rPr>
          <w:rFonts w:ascii="Arial" w:eastAsiaTheme="minorHAnsi" w:hAnsi="Arial" w:cs="Arial"/>
          <w:sz w:val="24"/>
          <w:szCs w:val="24"/>
        </w:rPr>
      </w:pPr>
    </w:p>
    <w:tbl>
      <w:tblPr>
        <w:tblStyle w:val="TableGrid"/>
        <w:tblW w:w="9535" w:type="dxa"/>
        <w:jc w:val="center"/>
        <w:tblLayout w:type="fixed"/>
        <w:tblLook w:val="04A0" w:firstRow="1" w:lastRow="0" w:firstColumn="1" w:lastColumn="0" w:noHBand="0" w:noVBand="1"/>
      </w:tblPr>
      <w:tblGrid>
        <w:gridCol w:w="3685"/>
        <w:gridCol w:w="5850"/>
      </w:tblGrid>
      <w:tr w:rsidR="002B1A29" w:rsidTr="00896BF3">
        <w:trPr>
          <w:jc w:val="center"/>
        </w:trPr>
        <w:tc>
          <w:tcPr>
            <w:tcW w:w="3685" w:type="dxa"/>
            <w:shd w:val="clear" w:color="auto" w:fill="D9D9D9" w:themeFill="background1" w:themeFillShade="D9"/>
            <w:vAlign w:val="center"/>
          </w:tcPr>
          <w:p w:rsidR="002B1A29" w:rsidRPr="002227FC" w:rsidRDefault="002B1A29" w:rsidP="00896BF3">
            <w:pPr>
              <w:spacing w:line="360" w:lineRule="auto"/>
              <w:contextualSpacing/>
              <w:rPr>
                <w:rFonts w:ascii="Arial" w:hAnsi="Arial" w:cs="Arial"/>
                <w:b/>
                <w:sz w:val="24"/>
                <w:szCs w:val="24"/>
              </w:rPr>
            </w:pPr>
            <w:r w:rsidRPr="002227FC">
              <w:rPr>
                <w:rFonts w:ascii="Arial" w:hAnsi="Arial" w:cs="Arial"/>
                <w:b/>
                <w:sz w:val="24"/>
                <w:szCs w:val="24"/>
              </w:rPr>
              <w:t>Behavior</w:t>
            </w:r>
          </w:p>
        </w:tc>
        <w:tc>
          <w:tcPr>
            <w:tcW w:w="5850" w:type="dxa"/>
            <w:shd w:val="clear" w:color="auto" w:fill="D9D9D9" w:themeFill="background1" w:themeFillShade="D9"/>
            <w:vAlign w:val="center"/>
          </w:tcPr>
          <w:p w:rsidR="002B1A29" w:rsidRPr="002227FC" w:rsidRDefault="002B1A29" w:rsidP="00896BF3">
            <w:pPr>
              <w:spacing w:line="360" w:lineRule="auto"/>
              <w:contextualSpacing/>
              <w:rPr>
                <w:rFonts w:ascii="Arial" w:hAnsi="Arial" w:cs="Arial"/>
                <w:b/>
                <w:sz w:val="24"/>
                <w:szCs w:val="24"/>
              </w:rPr>
            </w:pPr>
            <w:r w:rsidRPr="002227FC">
              <w:rPr>
                <w:rFonts w:ascii="Arial" w:hAnsi="Arial" w:cs="Arial"/>
                <w:b/>
                <w:sz w:val="24"/>
                <w:szCs w:val="24"/>
              </w:rPr>
              <w:t>Description</w:t>
            </w:r>
          </w:p>
        </w:tc>
      </w:tr>
      <w:tr w:rsidR="002B1A29" w:rsidTr="00896BF3">
        <w:trPr>
          <w:trHeight w:val="576"/>
          <w:jc w:val="center"/>
        </w:trPr>
        <w:tc>
          <w:tcPr>
            <w:tcW w:w="3685" w:type="dxa"/>
            <w:vAlign w:val="center"/>
          </w:tcPr>
          <w:p w:rsidR="002B1A29" w:rsidRPr="006A7A8C" w:rsidRDefault="002B1A29" w:rsidP="00896BF3">
            <w:pPr>
              <w:contextualSpacing/>
              <w:rPr>
                <w:rFonts w:ascii="Arial" w:hAnsi="Arial" w:cs="Arial"/>
                <w:b/>
                <w:sz w:val="22"/>
                <w:szCs w:val="22"/>
              </w:rPr>
            </w:pPr>
            <w:r w:rsidRPr="006A7A8C">
              <w:rPr>
                <w:rFonts w:ascii="Arial" w:hAnsi="Arial" w:cs="Arial"/>
                <w:b/>
                <w:sz w:val="22"/>
                <w:szCs w:val="22"/>
              </w:rPr>
              <w:t>Attack</w:t>
            </w:r>
          </w:p>
          <w:p w:rsidR="002B1A29" w:rsidRPr="006A7A8C" w:rsidRDefault="002B1A29" w:rsidP="00896BF3">
            <w:pPr>
              <w:pStyle w:val="ListParagraph"/>
              <w:numPr>
                <w:ilvl w:val="0"/>
                <w:numId w:val="2"/>
              </w:numPr>
              <w:spacing w:after="0" w:line="240" w:lineRule="auto"/>
              <w:rPr>
                <w:rFonts w:ascii="Arial" w:hAnsi="Arial" w:cs="Arial"/>
              </w:rPr>
            </w:pPr>
            <w:r w:rsidRPr="006A7A8C">
              <w:rPr>
                <w:rFonts w:ascii="Arial" w:hAnsi="Arial" w:cs="Arial"/>
              </w:rPr>
              <w:t>Number</w:t>
            </w:r>
          </w:p>
          <w:p w:rsidR="002B1A29" w:rsidRPr="006A7A8C" w:rsidRDefault="002B1A29" w:rsidP="00896BF3">
            <w:pPr>
              <w:pStyle w:val="ListParagraph"/>
              <w:numPr>
                <w:ilvl w:val="0"/>
                <w:numId w:val="2"/>
              </w:numPr>
              <w:spacing w:after="0" w:line="240" w:lineRule="auto"/>
              <w:rPr>
                <w:rFonts w:ascii="Arial" w:hAnsi="Arial" w:cs="Arial"/>
              </w:rPr>
            </w:pPr>
            <w:r w:rsidRPr="006A7A8C">
              <w:rPr>
                <w:rFonts w:ascii="Arial" w:hAnsi="Arial" w:cs="Arial"/>
              </w:rPr>
              <w:t>Duration</w:t>
            </w:r>
          </w:p>
          <w:p w:rsidR="002B1A29" w:rsidRPr="006A7A8C" w:rsidRDefault="002B1A29" w:rsidP="00896BF3">
            <w:pPr>
              <w:pStyle w:val="ListParagraph"/>
              <w:numPr>
                <w:ilvl w:val="0"/>
                <w:numId w:val="2"/>
              </w:numPr>
              <w:spacing w:after="0" w:line="240" w:lineRule="auto"/>
              <w:rPr>
                <w:rFonts w:ascii="Arial" w:hAnsi="Arial" w:cs="Arial"/>
              </w:rPr>
            </w:pPr>
            <w:r w:rsidRPr="006A7A8C">
              <w:rPr>
                <w:rFonts w:ascii="Arial" w:hAnsi="Arial" w:cs="Arial"/>
              </w:rPr>
              <w:t>Latency</w:t>
            </w:r>
          </w:p>
        </w:tc>
        <w:tc>
          <w:tcPr>
            <w:tcW w:w="5850" w:type="dxa"/>
            <w:vAlign w:val="center"/>
          </w:tcPr>
          <w:p w:rsidR="002B1A29" w:rsidRPr="006A7A8C" w:rsidRDefault="002B1A29" w:rsidP="00896BF3">
            <w:pPr>
              <w:contextualSpacing/>
              <w:rPr>
                <w:rFonts w:ascii="Arial" w:hAnsi="Arial" w:cs="Arial"/>
                <w:sz w:val="22"/>
                <w:szCs w:val="22"/>
              </w:rPr>
            </w:pPr>
            <w:r w:rsidRPr="006A7A8C">
              <w:rPr>
                <w:rFonts w:ascii="Arial" w:hAnsi="Arial" w:cs="Arial"/>
                <w:sz w:val="22"/>
                <w:szCs w:val="22"/>
              </w:rPr>
              <w:t>Sideways or upright offensive posture that results in physical contact. Attack bouts are captured in duration and frequency and include biting, roll fighting, and pinning the subordinate. Attacks include events when there is distinct separation between the resident and intruder that is rapidly followed by another attack (≤ 3 seconds). Attacks exclude defensive behaviors, such as pushing, clawing, and boxing; and events where there is distinct separation between the resident and intruder that lasts for &gt; 3 seconds prior to another attack. Latency is defined as the amount of time elapsed before the resident first attacks the intruder.</w:t>
            </w:r>
          </w:p>
        </w:tc>
      </w:tr>
      <w:tr w:rsidR="002B1A29" w:rsidTr="00896BF3">
        <w:trPr>
          <w:trHeight w:val="576"/>
          <w:jc w:val="center"/>
        </w:trPr>
        <w:tc>
          <w:tcPr>
            <w:tcW w:w="3685" w:type="dxa"/>
            <w:vAlign w:val="center"/>
          </w:tcPr>
          <w:p w:rsidR="002B1A29" w:rsidRDefault="002B1A29" w:rsidP="00896BF3">
            <w:pPr>
              <w:contextualSpacing/>
              <w:rPr>
                <w:rFonts w:ascii="Arial" w:hAnsi="Arial" w:cs="Arial"/>
                <w:b/>
                <w:sz w:val="22"/>
                <w:szCs w:val="22"/>
              </w:rPr>
            </w:pPr>
          </w:p>
          <w:p w:rsidR="002B1A29" w:rsidRPr="006A7A8C" w:rsidRDefault="002B1A29" w:rsidP="00896BF3">
            <w:pPr>
              <w:contextualSpacing/>
              <w:rPr>
                <w:rFonts w:ascii="Arial" w:hAnsi="Arial" w:cs="Arial"/>
                <w:b/>
                <w:sz w:val="22"/>
                <w:szCs w:val="22"/>
              </w:rPr>
            </w:pPr>
            <w:r w:rsidRPr="006A7A8C">
              <w:rPr>
                <w:rFonts w:ascii="Arial" w:hAnsi="Arial" w:cs="Arial"/>
                <w:b/>
                <w:sz w:val="22"/>
                <w:szCs w:val="22"/>
              </w:rPr>
              <w:t>Chase</w:t>
            </w:r>
          </w:p>
          <w:p w:rsidR="002B1A29" w:rsidRPr="006A7A8C" w:rsidRDefault="002B1A29" w:rsidP="00896BF3">
            <w:pPr>
              <w:pStyle w:val="ListParagraph"/>
              <w:numPr>
                <w:ilvl w:val="0"/>
                <w:numId w:val="3"/>
              </w:numPr>
              <w:spacing w:after="0" w:line="240" w:lineRule="auto"/>
              <w:rPr>
                <w:rFonts w:ascii="Arial" w:hAnsi="Arial" w:cs="Arial"/>
              </w:rPr>
            </w:pPr>
            <w:r w:rsidRPr="006A7A8C">
              <w:rPr>
                <w:rFonts w:ascii="Arial" w:hAnsi="Arial" w:cs="Arial"/>
              </w:rPr>
              <w:t>Number</w:t>
            </w:r>
          </w:p>
          <w:p w:rsidR="002B1A29" w:rsidRPr="006A7A8C" w:rsidRDefault="002B1A29" w:rsidP="00896BF3">
            <w:pPr>
              <w:pStyle w:val="ListParagraph"/>
              <w:numPr>
                <w:ilvl w:val="0"/>
                <w:numId w:val="3"/>
              </w:numPr>
              <w:spacing w:after="0" w:line="240" w:lineRule="auto"/>
              <w:rPr>
                <w:rFonts w:ascii="Arial" w:hAnsi="Arial" w:cs="Arial"/>
              </w:rPr>
            </w:pPr>
            <w:r w:rsidRPr="006A7A8C">
              <w:rPr>
                <w:rFonts w:ascii="Arial" w:hAnsi="Arial" w:cs="Arial"/>
              </w:rPr>
              <w:t>Duration</w:t>
            </w:r>
          </w:p>
          <w:p w:rsidR="002B1A29" w:rsidRPr="006A7A8C" w:rsidRDefault="002B1A29" w:rsidP="00896BF3">
            <w:pPr>
              <w:pStyle w:val="ListParagraph"/>
              <w:spacing w:after="0" w:line="240" w:lineRule="auto"/>
              <w:rPr>
                <w:rFonts w:ascii="Arial" w:hAnsi="Arial" w:cs="Arial"/>
              </w:rPr>
            </w:pPr>
          </w:p>
        </w:tc>
        <w:tc>
          <w:tcPr>
            <w:tcW w:w="5850" w:type="dxa"/>
            <w:vAlign w:val="center"/>
          </w:tcPr>
          <w:p w:rsidR="002B1A29" w:rsidRPr="006A7A8C" w:rsidRDefault="002B1A29" w:rsidP="00896BF3">
            <w:pPr>
              <w:contextualSpacing/>
              <w:rPr>
                <w:rFonts w:ascii="Arial" w:hAnsi="Arial" w:cs="Arial"/>
                <w:sz w:val="22"/>
                <w:szCs w:val="22"/>
              </w:rPr>
            </w:pPr>
            <w:r w:rsidRPr="006A7A8C">
              <w:rPr>
                <w:rFonts w:ascii="Arial" w:hAnsi="Arial" w:cs="Arial"/>
                <w:sz w:val="22"/>
                <w:szCs w:val="22"/>
              </w:rPr>
              <w:t>Rapid pursuit that leads to an attack. Upon contact, a chase is scored as an attack.</w:t>
            </w:r>
          </w:p>
        </w:tc>
      </w:tr>
      <w:tr w:rsidR="002B1A29" w:rsidTr="00896BF3">
        <w:trPr>
          <w:trHeight w:val="576"/>
          <w:jc w:val="center"/>
        </w:trPr>
        <w:tc>
          <w:tcPr>
            <w:tcW w:w="3685" w:type="dxa"/>
            <w:vAlign w:val="center"/>
          </w:tcPr>
          <w:p w:rsidR="002B1A29" w:rsidRDefault="002B1A29" w:rsidP="00896BF3">
            <w:pPr>
              <w:contextualSpacing/>
              <w:rPr>
                <w:rFonts w:ascii="Arial" w:hAnsi="Arial" w:cs="Arial"/>
                <w:b/>
                <w:sz w:val="22"/>
                <w:szCs w:val="22"/>
              </w:rPr>
            </w:pPr>
          </w:p>
          <w:p w:rsidR="002B1A29" w:rsidRPr="006A7A8C" w:rsidRDefault="002B1A29" w:rsidP="00896BF3">
            <w:pPr>
              <w:contextualSpacing/>
              <w:rPr>
                <w:rFonts w:ascii="Arial" w:hAnsi="Arial" w:cs="Arial"/>
                <w:b/>
                <w:sz w:val="22"/>
                <w:szCs w:val="22"/>
              </w:rPr>
            </w:pPr>
            <w:r w:rsidRPr="006A7A8C">
              <w:rPr>
                <w:rFonts w:ascii="Arial" w:hAnsi="Arial" w:cs="Arial"/>
                <w:b/>
                <w:sz w:val="22"/>
                <w:szCs w:val="22"/>
              </w:rPr>
              <w:t>Nose-to-Nose Investigation (NTN)</w:t>
            </w:r>
          </w:p>
          <w:p w:rsidR="002B1A29" w:rsidRPr="006A7A8C" w:rsidRDefault="002B1A29" w:rsidP="00896BF3">
            <w:pPr>
              <w:pStyle w:val="ListParagraph"/>
              <w:numPr>
                <w:ilvl w:val="0"/>
                <w:numId w:val="4"/>
              </w:numPr>
              <w:spacing w:after="0" w:line="240" w:lineRule="auto"/>
              <w:rPr>
                <w:rFonts w:ascii="Arial" w:hAnsi="Arial" w:cs="Arial"/>
              </w:rPr>
            </w:pPr>
            <w:r w:rsidRPr="006A7A8C">
              <w:rPr>
                <w:rFonts w:ascii="Arial" w:hAnsi="Arial" w:cs="Arial"/>
              </w:rPr>
              <w:t>Frequency</w:t>
            </w:r>
          </w:p>
          <w:p w:rsidR="002B1A29" w:rsidRPr="006A7A8C" w:rsidRDefault="002B1A29" w:rsidP="00896BF3">
            <w:pPr>
              <w:pStyle w:val="ListParagraph"/>
              <w:numPr>
                <w:ilvl w:val="0"/>
                <w:numId w:val="4"/>
              </w:numPr>
              <w:spacing w:after="0" w:line="240" w:lineRule="auto"/>
              <w:rPr>
                <w:rFonts w:ascii="Arial" w:hAnsi="Arial" w:cs="Arial"/>
              </w:rPr>
            </w:pPr>
            <w:r w:rsidRPr="006A7A8C">
              <w:rPr>
                <w:rFonts w:ascii="Arial" w:hAnsi="Arial" w:cs="Arial"/>
              </w:rPr>
              <w:t>Duration</w:t>
            </w:r>
          </w:p>
        </w:tc>
        <w:tc>
          <w:tcPr>
            <w:tcW w:w="5850" w:type="dxa"/>
            <w:vAlign w:val="center"/>
          </w:tcPr>
          <w:p w:rsidR="002B1A29" w:rsidRPr="006A7A8C" w:rsidRDefault="002B1A29" w:rsidP="00896BF3">
            <w:pPr>
              <w:contextualSpacing/>
              <w:rPr>
                <w:rFonts w:ascii="Arial" w:hAnsi="Arial" w:cs="Arial"/>
                <w:sz w:val="22"/>
                <w:szCs w:val="22"/>
              </w:rPr>
            </w:pPr>
            <w:proofErr w:type="spellStart"/>
            <w:r w:rsidRPr="006A7A8C">
              <w:rPr>
                <w:rFonts w:ascii="Arial" w:hAnsi="Arial" w:cs="Arial"/>
                <w:sz w:val="22"/>
                <w:szCs w:val="22"/>
              </w:rPr>
              <w:t>Chemoinvestigation</w:t>
            </w:r>
            <w:proofErr w:type="spellEnd"/>
            <w:r w:rsidRPr="006A7A8C">
              <w:rPr>
                <w:rFonts w:ascii="Arial" w:hAnsi="Arial" w:cs="Arial"/>
                <w:sz w:val="22"/>
                <w:szCs w:val="22"/>
              </w:rPr>
              <w:t xml:space="preserve"> in which the resident and the intruder are face-to-face and their noses are in close proximity or touching. NTN also includes events where the resident’s nose is touching the top half (e.g., regions from the middle of the torso to the head) of the intruder’s body.</w:t>
            </w:r>
          </w:p>
        </w:tc>
      </w:tr>
      <w:tr w:rsidR="002B1A29" w:rsidTr="00896BF3">
        <w:trPr>
          <w:trHeight w:val="576"/>
          <w:jc w:val="center"/>
        </w:trPr>
        <w:tc>
          <w:tcPr>
            <w:tcW w:w="3685" w:type="dxa"/>
            <w:vAlign w:val="center"/>
          </w:tcPr>
          <w:p w:rsidR="002B1A29" w:rsidRPr="006A7A8C" w:rsidRDefault="002B1A29" w:rsidP="00896BF3">
            <w:pPr>
              <w:contextualSpacing/>
              <w:rPr>
                <w:rFonts w:ascii="Arial" w:hAnsi="Arial" w:cs="Arial"/>
                <w:b/>
                <w:sz w:val="22"/>
                <w:szCs w:val="22"/>
              </w:rPr>
            </w:pPr>
            <w:proofErr w:type="spellStart"/>
            <w:r w:rsidRPr="006A7A8C">
              <w:rPr>
                <w:rFonts w:ascii="Arial" w:hAnsi="Arial" w:cs="Arial"/>
                <w:b/>
                <w:sz w:val="22"/>
                <w:szCs w:val="22"/>
              </w:rPr>
              <w:t>Anogenital</w:t>
            </w:r>
            <w:proofErr w:type="spellEnd"/>
            <w:r w:rsidRPr="006A7A8C">
              <w:rPr>
                <w:rFonts w:ascii="Arial" w:hAnsi="Arial" w:cs="Arial"/>
                <w:b/>
                <w:sz w:val="22"/>
                <w:szCs w:val="22"/>
              </w:rPr>
              <w:t xml:space="preserve"> Investigation (AGI)</w:t>
            </w:r>
          </w:p>
          <w:p w:rsidR="002B1A29" w:rsidRPr="006A7A8C" w:rsidRDefault="002B1A29" w:rsidP="00896BF3">
            <w:pPr>
              <w:pStyle w:val="ListParagraph"/>
              <w:numPr>
                <w:ilvl w:val="0"/>
                <w:numId w:val="5"/>
              </w:numPr>
              <w:spacing w:after="0" w:line="240" w:lineRule="auto"/>
              <w:rPr>
                <w:rFonts w:ascii="Arial" w:hAnsi="Arial" w:cs="Arial"/>
              </w:rPr>
            </w:pPr>
            <w:r w:rsidRPr="006A7A8C">
              <w:rPr>
                <w:rFonts w:ascii="Arial" w:hAnsi="Arial" w:cs="Arial"/>
              </w:rPr>
              <w:t>Frequency</w:t>
            </w:r>
          </w:p>
          <w:p w:rsidR="002B1A29" w:rsidRPr="006A7A8C" w:rsidRDefault="002B1A29" w:rsidP="00896BF3">
            <w:pPr>
              <w:pStyle w:val="ListParagraph"/>
              <w:numPr>
                <w:ilvl w:val="0"/>
                <w:numId w:val="5"/>
              </w:numPr>
              <w:spacing w:after="0" w:line="240" w:lineRule="auto"/>
              <w:rPr>
                <w:rFonts w:ascii="Arial" w:hAnsi="Arial" w:cs="Arial"/>
              </w:rPr>
            </w:pPr>
            <w:r w:rsidRPr="006A7A8C">
              <w:rPr>
                <w:rFonts w:ascii="Arial" w:hAnsi="Arial" w:cs="Arial"/>
              </w:rPr>
              <w:t>Duration</w:t>
            </w:r>
          </w:p>
        </w:tc>
        <w:tc>
          <w:tcPr>
            <w:tcW w:w="5850" w:type="dxa"/>
            <w:vAlign w:val="center"/>
          </w:tcPr>
          <w:p w:rsidR="002B1A29" w:rsidRPr="006A7A8C" w:rsidRDefault="002B1A29" w:rsidP="00896BF3">
            <w:pPr>
              <w:contextualSpacing/>
              <w:rPr>
                <w:rFonts w:ascii="Arial" w:hAnsi="Arial" w:cs="Arial"/>
                <w:sz w:val="22"/>
                <w:szCs w:val="22"/>
              </w:rPr>
            </w:pPr>
            <w:proofErr w:type="spellStart"/>
            <w:r w:rsidRPr="006A7A8C">
              <w:rPr>
                <w:rFonts w:ascii="Arial" w:hAnsi="Arial" w:cs="Arial"/>
                <w:sz w:val="22"/>
                <w:szCs w:val="22"/>
              </w:rPr>
              <w:t>Chemoinvestigation</w:t>
            </w:r>
            <w:proofErr w:type="spellEnd"/>
            <w:r w:rsidRPr="006A7A8C">
              <w:rPr>
                <w:rFonts w:ascii="Arial" w:hAnsi="Arial" w:cs="Arial"/>
                <w:sz w:val="22"/>
                <w:szCs w:val="22"/>
              </w:rPr>
              <w:t xml:space="preserve"> in which the resident investigates the anus or genital area of the intruder. AGI also includes events where the resident’s nose is touching the bottom half (e.g., regions from the middle of the torso to the </w:t>
            </w:r>
            <w:proofErr w:type="spellStart"/>
            <w:r w:rsidRPr="006A7A8C">
              <w:rPr>
                <w:rFonts w:ascii="Arial" w:hAnsi="Arial" w:cs="Arial"/>
                <w:sz w:val="22"/>
                <w:szCs w:val="22"/>
              </w:rPr>
              <w:t>hindlimbs</w:t>
            </w:r>
            <w:proofErr w:type="spellEnd"/>
            <w:r w:rsidRPr="006A7A8C">
              <w:rPr>
                <w:rFonts w:ascii="Arial" w:hAnsi="Arial" w:cs="Arial"/>
                <w:sz w:val="22"/>
                <w:szCs w:val="22"/>
              </w:rPr>
              <w:t>) of the intruder’s body.</w:t>
            </w:r>
          </w:p>
        </w:tc>
      </w:tr>
      <w:tr w:rsidR="002B1A29" w:rsidTr="00896BF3">
        <w:trPr>
          <w:trHeight w:val="576"/>
          <w:jc w:val="center"/>
        </w:trPr>
        <w:tc>
          <w:tcPr>
            <w:tcW w:w="3685" w:type="dxa"/>
            <w:vAlign w:val="center"/>
          </w:tcPr>
          <w:p w:rsidR="002B1A29" w:rsidRDefault="002B1A29" w:rsidP="00896BF3">
            <w:pPr>
              <w:contextualSpacing/>
              <w:rPr>
                <w:rFonts w:ascii="Arial" w:hAnsi="Arial" w:cs="Arial"/>
                <w:b/>
                <w:sz w:val="22"/>
                <w:szCs w:val="22"/>
              </w:rPr>
            </w:pPr>
          </w:p>
          <w:p w:rsidR="002B1A29" w:rsidRPr="006A7A8C" w:rsidRDefault="002B1A29" w:rsidP="00896BF3">
            <w:pPr>
              <w:contextualSpacing/>
              <w:rPr>
                <w:rFonts w:ascii="Arial" w:hAnsi="Arial" w:cs="Arial"/>
                <w:b/>
                <w:sz w:val="22"/>
                <w:szCs w:val="22"/>
              </w:rPr>
            </w:pPr>
            <w:r w:rsidRPr="006A7A8C">
              <w:rPr>
                <w:rFonts w:ascii="Arial" w:hAnsi="Arial" w:cs="Arial"/>
                <w:b/>
                <w:sz w:val="22"/>
                <w:szCs w:val="22"/>
              </w:rPr>
              <w:t>Scent Marking (SM)</w:t>
            </w:r>
          </w:p>
          <w:p w:rsidR="002B1A29" w:rsidRPr="006A7A8C" w:rsidRDefault="002B1A29" w:rsidP="00896BF3">
            <w:pPr>
              <w:pStyle w:val="ListParagraph"/>
              <w:numPr>
                <w:ilvl w:val="0"/>
                <w:numId w:val="6"/>
              </w:numPr>
              <w:spacing w:after="0" w:line="240" w:lineRule="auto"/>
              <w:rPr>
                <w:rFonts w:ascii="Arial" w:hAnsi="Arial" w:cs="Arial"/>
              </w:rPr>
            </w:pPr>
            <w:r w:rsidRPr="006A7A8C">
              <w:rPr>
                <w:rFonts w:ascii="Arial" w:hAnsi="Arial" w:cs="Arial"/>
              </w:rPr>
              <w:t>Frequency</w:t>
            </w:r>
          </w:p>
          <w:p w:rsidR="002B1A29" w:rsidRPr="006A7A8C" w:rsidRDefault="002B1A29" w:rsidP="00896BF3">
            <w:pPr>
              <w:pStyle w:val="ListParagraph"/>
              <w:numPr>
                <w:ilvl w:val="0"/>
                <w:numId w:val="6"/>
              </w:numPr>
              <w:spacing w:after="0" w:line="240" w:lineRule="auto"/>
              <w:rPr>
                <w:rFonts w:ascii="Arial" w:hAnsi="Arial" w:cs="Arial"/>
              </w:rPr>
            </w:pPr>
            <w:r w:rsidRPr="006A7A8C">
              <w:rPr>
                <w:rFonts w:ascii="Arial" w:hAnsi="Arial" w:cs="Arial"/>
              </w:rPr>
              <w:t>Duration</w:t>
            </w:r>
          </w:p>
          <w:p w:rsidR="002B1A29" w:rsidRPr="006A7A8C" w:rsidRDefault="002B1A29" w:rsidP="00896BF3">
            <w:pPr>
              <w:pStyle w:val="ListParagraph"/>
              <w:spacing w:after="0" w:line="240" w:lineRule="auto"/>
              <w:rPr>
                <w:rFonts w:ascii="Arial" w:hAnsi="Arial" w:cs="Arial"/>
              </w:rPr>
            </w:pPr>
          </w:p>
        </w:tc>
        <w:tc>
          <w:tcPr>
            <w:tcW w:w="5850" w:type="dxa"/>
            <w:vAlign w:val="center"/>
          </w:tcPr>
          <w:p w:rsidR="002B1A29" w:rsidRPr="006A7A8C" w:rsidRDefault="002B1A29" w:rsidP="00896BF3">
            <w:pPr>
              <w:contextualSpacing/>
              <w:rPr>
                <w:rFonts w:ascii="Arial" w:hAnsi="Arial" w:cs="Arial"/>
                <w:sz w:val="22"/>
                <w:szCs w:val="22"/>
              </w:rPr>
            </w:pPr>
            <w:r w:rsidRPr="006A7A8C">
              <w:rPr>
                <w:rFonts w:ascii="Arial" w:hAnsi="Arial" w:cs="Arial"/>
                <w:sz w:val="22"/>
                <w:szCs w:val="22"/>
              </w:rPr>
              <w:t>Ventral gland is rubbed along the surface of bedding material and secretions are deposited.</w:t>
            </w:r>
          </w:p>
        </w:tc>
      </w:tr>
      <w:tr w:rsidR="002B1A29" w:rsidTr="00896BF3">
        <w:trPr>
          <w:trHeight w:val="576"/>
          <w:jc w:val="center"/>
        </w:trPr>
        <w:tc>
          <w:tcPr>
            <w:tcW w:w="3685" w:type="dxa"/>
            <w:vAlign w:val="center"/>
          </w:tcPr>
          <w:p w:rsidR="002B1A29" w:rsidRDefault="002B1A29" w:rsidP="00896BF3">
            <w:pPr>
              <w:contextualSpacing/>
              <w:rPr>
                <w:rFonts w:ascii="Arial" w:hAnsi="Arial" w:cs="Arial"/>
                <w:b/>
                <w:sz w:val="22"/>
                <w:szCs w:val="22"/>
              </w:rPr>
            </w:pPr>
          </w:p>
          <w:p w:rsidR="002B1A29" w:rsidRPr="006A7A8C" w:rsidRDefault="002B1A29" w:rsidP="00896BF3">
            <w:pPr>
              <w:contextualSpacing/>
              <w:rPr>
                <w:rFonts w:ascii="Arial" w:hAnsi="Arial" w:cs="Arial"/>
                <w:b/>
                <w:sz w:val="22"/>
                <w:szCs w:val="22"/>
              </w:rPr>
            </w:pPr>
            <w:r w:rsidRPr="006A7A8C">
              <w:rPr>
                <w:rFonts w:ascii="Arial" w:hAnsi="Arial" w:cs="Arial"/>
                <w:b/>
                <w:sz w:val="22"/>
                <w:szCs w:val="22"/>
              </w:rPr>
              <w:t>Grooming (GR)</w:t>
            </w:r>
          </w:p>
          <w:p w:rsidR="002B1A29" w:rsidRPr="006A7A8C" w:rsidRDefault="002B1A29" w:rsidP="00896BF3">
            <w:pPr>
              <w:pStyle w:val="ListParagraph"/>
              <w:numPr>
                <w:ilvl w:val="0"/>
                <w:numId w:val="7"/>
              </w:numPr>
              <w:spacing w:after="0" w:line="240" w:lineRule="auto"/>
              <w:rPr>
                <w:rFonts w:ascii="Arial" w:hAnsi="Arial" w:cs="Arial"/>
              </w:rPr>
            </w:pPr>
            <w:r w:rsidRPr="006A7A8C">
              <w:rPr>
                <w:rFonts w:ascii="Arial" w:hAnsi="Arial" w:cs="Arial"/>
              </w:rPr>
              <w:t>Frequency</w:t>
            </w:r>
          </w:p>
          <w:p w:rsidR="002B1A29" w:rsidRPr="006A7A8C" w:rsidRDefault="002B1A29" w:rsidP="00896BF3">
            <w:pPr>
              <w:pStyle w:val="ListParagraph"/>
              <w:numPr>
                <w:ilvl w:val="0"/>
                <w:numId w:val="7"/>
              </w:numPr>
              <w:spacing w:after="0" w:line="240" w:lineRule="auto"/>
              <w:rPr>
                <w:rFonts w:ascii="Arial" w:hAnsi="Arial" w:cs="Arial"/>
              </w:rPr>
            </w:pPr>
            <w:r w:rsidRPr="006A7A8C">
              <w:rPr>
                <w:rFonts w:ascii="Arial" w:hAnsi="Arial" w:cs="Arial"/>
              </w:rPr>
              <w:t>Duration</w:t>
            </w:r>
          </w:p>
          <w:p w:rsidR="002B1A29" w:rsidRPr="006A7A8C" w:rsidRDefault="002B1A29" w:rsidP="00896BF3">
            <w:pPr>
              <w:pStyle w:val="ListParagraph"/>
              <w:spacing w:after="0" w:line="240" w:lineRule="auto"/>
              <w:rPr>
                <w:rFonts w:ascii="Arial" w:hAnsi="Arial" w:cs="Arial"/>
              </w:rPr>
            </w:pPr>
          </w:p>
        </w:tc>
        <w:tc>
          <w:tcPr>
            <w:tcW w:w="5850" w:type="dxa"/>
            <w:vAlign w:val="center"/>
          </w:tcPr>
          <w:p w:rsidR="002B1A29" w:rsidRPr="006A7A8C" w:rsidRDefault="002B1A29" w:rsidP="00896BF3">
            <w:pPr>
              <w:contextualSpacing/>
              <w:rPr>
                <w:rFonts w:ascii="Arial" w:hAnsi="Arial" w:cs="Arial"/>
                <w:sz w:val="22"/>
                <w:szCs w:val="22"/>
              </w:rPr>
            </w:pPr>
            <w:r w:rsidRPr="006A7A8C">
              <w:rPr>
                <w:rFonts w:ascii="Arial" w:hAnsi="Arial" w:cs="Arial"/>
                <w:sz w:val="22"/>
                <w:szCs w:val="22"/>
              </w:rPr>
              <w:t>Self-grooming events of the face, head, or flanks.</w:t>
            </w:r>
          </w:p>
        </w:tc>
      </w:tr>
    </w:tbl>
    <w:p w:rsidR="002B1A29" w:rsidRDefault="002B1A29" w:rsidP="00D55268">
      <w:pPr>
        <w:spacing w:after="160" w:line="360" w:lineRule="auto"/>
        <w:contextualSpacing/>
        <w:rPr>
          <w:rFonts w:ascii="Arial" w:eastAsiaTheme="minorHAnsi" w:hAnsi="Arial" w:cs="Arial"/>
          <w:sz w:val="24"/>
          <w:szCs w:val="24"/>
        </w:rPr>
      </w:pPr>
      <w:r>
        <w:rPr>
          <w:rFonts w:ascii="Arial" w:eastAsiaTheme="minorHAnsi" w:hAnsi="Arial" w:cs="Arial"/>
          <w:b/>
          <w:sz w:val="24"/>
          <w:szCs w:val="24"/>
        </w:rPr>
        <w:lastRenderedPageBreak/>
        <w:t>Table S2</w:t>
      </w:r>
      <w:r w:rsidRPr="004234CB">
        <w:rPr>
          <w:rFonts w:ascii="Arial" w:eastAsiaTheme="minorHAnsi" w:hAnsi="Arial" w:cs="Arial"/>
          <w:sz w:val="24"/>
          <w:szCs w:val="24"/>
        </w:rPr>
        <w:t xml:space="preserve">. Principal component loading values and eigenvalues for variables that were used to </w:t>
      </w:r>
      <w:r>
        <w:rPr>
          <w:rFonts w:ascii="Arial" w:eastAsiaTheme="minorHAnsi" w:hAnsi="Arial" w:cs="Arial"/>
          <w:sz w:val="24"/>
          <w:szCs w:val="24"/>
        </w:rPr>
        <w:t xml:space="preserve">examine </w:t>
      </w:r>
      <w:r w:rsidRPr="004234CB">
        <w:rPr>
          <w:rFonts w:ascii="Arial" w:eastAsiaTheme="minorHAnsi" w:hAnsi="Arial" w:cs="Arial"/>
          <w:sz w:val="24"/>
          <w:szCs w:val="24"/>
        </w:rPr>
        <w:t xml:space="preserve">differences in aggressive behavior and circulating androgen profiles </w:t>
      </w:r>
      <w:r>
        <w:rPr>
          <w:rFonts w:ascii="Arial" w:eastAsiaTheme="minorHAnsi" w:hAnsi="Arial" w:cs="Arial"/>
          <w:sz w:val="24"/>
          <w:szCs w:val="24"/>
        </w:rPr>
        <w:t xml:space="preserve">across </w:t>
      </w:r>
      <w:r w:rsidRPr="004234CB">
        <w:rPr>
          <w:rFonts w:ascii="Arial" w:eastAsiaTheme="minorHAnsi" w:hAnsi="Arial" w:cs="Arial"/>
          <w:sz w:val="24"/>
          <w:szCs w:val="24"/>
        </w:rPr>
        <w:t>seasonal phenotypes</w:t>
      </w:r>
      <w:r>
        <w:rPr>
          <w:rFonts w:ascii="Arial" w:eastAsiaTheme="minorHAnsi" w:hAnsi="Arial" w:cs="Arial"/>
          <w:sz w:val="24"/>
          <w:szCs w:val="24"/>
        </w:rPr>
        <w:t xml:space="preserve"> after 9 weeks of treatment.</w:t>
      </w:r>
      <w:r w:rsidRPr="004234CB">
        <w:rPr>
          <w:rFonts w:ascii="Arial" w:eastAsiaTheme="minorHAnsi" w:hAnsi="Arial" w:cs="Arial"/>
          <w:sz w:val="24"/>
          <w:szCs w:val="24"/>
        </w:rPr>
        <w:t xml:space="preserve">  </w:t>
      </w:r>
    </w:p>
    <w:p w:rsidR="002B1A29" w:rsidRDefault="002B1A29" w:rsidP="00D55268">
      <w:pPr>
        <w:spacing w:line="240" w:lineRule="auto"/>
        <w:contextualSpacing/>
        <w:rPr>
          <w:rFonts w:ascii="Arial" w:hAnsi="Arial" w:cs="Arial"/>
          <w:b/>
          <w:sz w:val="24"/>
          <w:szCs w:val="24"/>
        </w:rPr>
      </w:pPr>
    </w:p>
    <w:p w:rsidR="002B1A29" w:rsidRDefault="002B1A29" w:rsidP="00D55268">
      <w:pPr>
        <w:spacing w:line="240" w:lineRule="auto"/>
        <w:contextualSpacing/>
        <w:rPr>
          <w:rFonts w:ascii="Arial" w:hAnsi="Arial" w:cs="Arial"/>
          <w:b/>
          <w:sz w:val="24"/>
          <w:szCs w:val="24"/>
        </w:rPr>
      </w:pPr>
    </w:p>
    <w:tbl>
      <w:tblPr>
        <w:tblStyle w:val="TableGrid"/>
        <w:tblW w:w="7737" w:type="dxa"/>
        <w:jc w:val="center"/>
        <w:tblLook w:val="04A0" w:firstRow="1" w:lastRow="0" w:firstColumn="1" w:lastColumn="0" w:noHBand="0" w:noVBand="1"/>
      </w:tblPr>
      <w:tblGrid>
        <w:gridCol w:w="4857"/>
        <w:gridCol w:w="1440"/>
        <w:gridCol w:w="1440"/>
      </w:tblGrid>
      <w:tr w:rsidR="002B1A29" w:rsidRPr="00DD0C33" w:rsidTr="00896BF3">
        <w:trPr>
          <w:trHeight w:val="562"/>
          <w:jc w:val="center"/>
        </w:trPr>
        <w:tc>
          <w:tcPr>
            <w:tcW w:w="4857" w:type="dxa"/>
            <w:tcBorders>
              <w:top w:val="single" w:sz="4" w:space="0" w:color="auto"/>
              <w:left w:val="nil"/>
              <w:bottom w:val="single" w:sz="4" w:space="0" w:color="auto"/>
              <w:right w:val="nil"/>
            </w:tcBorders>
            <w:vAlign w:val="center"/>
          </w:tcPr>
          <w:p w:rsidR="002B1A29" w:rsidRPr="00DD0C33" w:rsidRDefault="002B1A29" w:rsidP="00896BF3">
            <w:pPr>
              <w:spacing w:line="240" w:lineRule="auto"/>
              <w:contextualSpacing/>
              <w:rPr>
                <w:rFonts w:ascii="Arial" w:hAnsi="Arial" w:cs="Arial"/>
                <w:b/>
                <w:sz w:val="24"/>
                <w:szCs w:val="24"/>
              </w:rPr>
            </w:pPr>
            <w:r w:rsidRPr="00DD0C33">
              <w:rPr>
                <w:rFonts w:ascii="Arial" w:hAnsi="Arial" w:cs="Arial"/>
                <w:b/>
                <w:sz w:val="24"/>
                <w:szCs w:val="24"/>
              </w:rPr>
              <w:t>Variables</w:t>
            </w:r>
          </w:p>
        </w:tc>
        <w:tc>
          <w:tcPr>
            <w:tcW w:w="1440" w:type="dxa"/>
            <w:tcBorders>
              <w:top w:val="single" w:sz="4" w:space="0" w:color="auto"/>
              <w:left w:val="nil"/>
              <w:bottom w:val="single" w:sz="4" w:space="0" w:color="auto"/>
              <w:right w:val="nil"/>
            </w:tcBorders>
            <w:vAlign w:val="center"/>
          </w:tcPr>
          <w:p w:rsidR="002B1A29" w:rsidRPr="00DD0C33" w:rsidRDefault="002B1A29" w:rsidP="00896BF3">
            <w:pPr>
              <w:spacing w:line="240" w:lineRule="auto"/>
              <w:contextualSpacing/>
              <w:jc w:val="center"/>
              <w:rPr>
                <w:rFonts w:ascii="Arial" w:hAnsi="Arial" w:cs="Arial"/>
                <w:b/>
                <w:sz w:val="24"/>
                <w:szCs w:val="24"/>
              </w:rPr>
            </w:pPr>
            <w:r w:rsidRPr="00DD0C33">
              <w:rPr>
                <w:rFonts w:ascii="Arial" w:hAnsi="Arial" w:cs="Arial"/>
                <w:b/>
                <w:sz w:val="24"/>
                <w:szCs w:val="24"/>
              </w:rPr>
              <w:t>PC1</w:t>
            </w:r>
          </w:p>
        </w:tc>
        <w:tc>
          <w:tcPr>
            <w:tcW w:w="1440" w:type="dxa"/>
            <w:tcBorders>
              <w:top w:val="single" w:sz="4" w:space="0" w:color="auto"/>
              <w:left w:val="nil"/>
              <w:bottom w:val="single" w:sz="4" w:space="0" w:color="auto"/>
              <w:right w:val="nil"/>
            </w:tcBorders>
            <w:vAlign w:val="center"/>
          </w:tcPr>
          <w:p w:rsidR="002B1A29" w:rsidRPr="00DD0C33" w:rsidRDefault="002B1A29" w:rsidP="00896BF3">
            <w:pPr>
              <w:spacing w:line="240" w:lineRule="auto"/>
              <w:contextualSpacing/>
              <w:jc w:val="center"/>
              <w:rPr>
                <w:rFonts w:ascii="Arial" w:hAnsi="Arial" w:cs="Arial"/>
                <w:b/>
                <w:sz w:val="24"/>
                <w:szCs w:val="24"/>
              </w:rPr>
            </w:pPr>
            <w:r>
              <w:rPr>
                <w:rFonts w:ascii="Arial" w:hAnsi="Arial" w:cs="Arial"/>
                <w:b/>
                <w:sz w:val="24"/>
                <w:szCs w:val="24"/>
              </w:rPr>
              <w:t>PC3</w:t>
            </w:r>
          </w:p>
        </w:tc>
      </w:tr>
      <w:tr w:rsidR="002B1A29" w:rsidRPr="00DD0C33" w:rsidTr="00896BF3">
        <w:trPr>
          <w:trHeight w:val="562"/>
          <w:jc w:val="center"/>
        </w:trPr>
        <w:tc>
          <w:tcPr>
            <w:tcW w:w="4857" w:type="dxa"/>
            <w:tcBorders>
              <w:top w:val="single" w:sz="4" w:space="0" w:color="auto"/>
              <w:left w:val="nil"/>
              <w:bottom w:val="nil"/>
              <w:right w:val="nil"/>
            </w:tcBorders>
            <w:vAlign w:val="center"/>
          </w:tcPr>
          <w:p w:rsidR="002B1A29" w:rsidRPr="00DD0C33" w:rsidRDefault="002B1A29" w:rsidP="00896BF3">
            <w:pPr>
              <w:spacing w:line="240" w:lineRule="auto"/>
              <w:contextualSpacing/>
              <w:rPr>
                <w:rFonts w:ascii="Arial" w:hAnsi="Arial" w:cs="Arial"/>
                <w:sz w:val="24"/>
                <w:szCs w:val="24"/>
              </w:rPr>
            </w:pPr>
            <w:r>
              <w:rPr>
                <w:rFonts w:ascii="Arial" w:hAnsi="Arial" w:cs="Arial"/>
                <w:sz w:val="24"/>
                <w:szCs w:val="24"/>
              </w:rPr>
              <w:t>Number of Attacks</w:t>
            </w:r>
          </w:p>
        </w:tc>
        <w:tc>
          <w:tcPr>
            <w:tcW w:w="1440" w:type="dxa"/>
            <w:tcBorders>
              <w:top w:val="single" w:sz="4" w:space="0" w:color="auto"/>
              <w:left w:val="nil"/>
              <w:bottom w:val="nil"/>
              <w:right w:val="nil"/>
            </w:tcBorders>
            <w:vAlign w:val="center"/>
          </w:tcPr>
          <w:p w:rsidR="002B1A29" w:rsidRPr="00A9349E" w:rsidRDefault="002B1A29" w:rsidP="00896BF3">
            <w:pPr>
              <w:spacing w:line="240" w:lineRule="auto"/>
              <w:contextualSpacing/>
              <w:jc w:val="center"/>
              <w:rPr>
                <w:rFonts w:ascii="Arial" w:hAnsi="Arial" w:cs="Arial"/>
                <w:b/>
                <w:sz w:val="24"/>
                <w:szCs w:val="24"/>
              </w:rPr>
            </w:pPr>
            <w:r>
              <w:rPr>
                <w:rFonts w:ascii="Arial" w:hAnsi="Arial" w:cs="Arial"/>
                <w:b/>
                <w:sz w:val="24"/>
                <w:szCs w:val="24"/>
              </w:rPr>
              <w:t>0.486</w:t>
            </w:r>
          </w:p>
        </w:tc>
        <w:tc>
          <w:tcPr>
            <w:tcW w:w="1440" w:type="dxa"/>
            <w:tcBorders>
              <w:top w:val="single" w:sz="4" w:space="0" w:color="auto"/>
              <w:left w:val="nil"/>
              <w:bottom w:val="nil"/>
              <w:right w:val="nil"/>
            </w:tcBorders>
            <w:shd w:val="clear" w:color="auto" w:fill="auto"/>
            <w:vAlign w:val="center"/>
          </w:tcPr>
          <w:p w:rsidR="002B1A29" w:rsidRPr="00A9349E" w:rsidRDefault="002B1A29" w:rsidP="00896BF3">
            <w:pPr>
              <w:spacing w:line="240" w:lineRule="auto"/>
              <w:contextualSpacing/>
              <w:jc w:val="center"/>
              <w:rPr>
                <w:rFonts w:ascii="Arial" w:hAnsi="Arial" w:cs="Arial"/>
                <w:sz w:val="24"/>
                <w:szCs w:val="24"/>
              </w:rPr>
            </w:pPr>
            <w:r>
              <w:rPr>
                <w:rFonts w:ascii="Arial" w:hAnsi="Arial" w:cs="Arial"/>
                <w:sz w:val="24"/>
                <w:szCs w:val="24"/>
              </w:rPr>
              <w:t>0.237</w:t>
            </w:r>
          </w:p>
        </w:tc>
      </w:tr>
      <w:tr w:rsidR="002B1A29" w:rsidRPr="00DD0C33" w:rsidTr="00896BF3">
        <w:trPr>
          <w:trHeight w:val="562"/>
          <w:jc w:val="center"/>
        </w:trPr>
        <w:tc>
          <w:tcPr>
            <w:tcW w:w="4857" w:type="dxa"/>
            <w:tcBorders>
              <w:top w:val="nil"/>
              <w:left w:val="nil"/>
              <w:bottom w:val="nil"/>
              <w:right w:val="nil"/>
            </w:tcBorders>
            <w:vAlign w:val="center"/>
          </w:tcPr>
          <w:p w:rsidR="002B1A29" w:rsidRPr="00DD0C33" w:rsidRDefault="002B1A29" w:rsidP="00896BF3">
            <w:pPr>
              <w:spacing w:line="240" w:lineRule="auto"/>
              <w:contextualSpacing/>
              <w:rPr>
                <w:rFonts w:ascii="Arial" w:hAnsi="Arial" w:cs="Arial"/>
                <w:sz w:val="24"/>
                <w:szCs w:val="24"/>
              </w:rPr>
            </w:pPr>
            <w:r>
              <w:rPr>
                <w:rFonts w:ascii="Arial" w:hAnsi="Arial" w:cs="Arial"/>
                <w:sz w:val="24"/>
                <w:szCs w:val="24"/>
              </w:rPr>
              <w:t>Attack Duration</w:t>
            </w:r>
          </w:p>
        </w:tc>
        <w:tc>
          <w:tcPr>
            <w:tcW w:w="1440" w:type="dxa"/>
            <w:tcBorders>
              <w:top w:val="nil"/>
              <w:left w:val="nil"/>
              <w:bottom w:val="nil"/>
              <w:right w:val="nil"/>
            </w:tcBorders>
            <w:vAlign w:val="center"/>
          </w:tcPr>
          <w:p w:rsidR="002B1A29" w:rsidRPr="000A7729" w:rsidRDefault="002B1A29" w:rsidP="00896BF3">
            <w:pPr>
              <w:spacing w:line="240" w:lineRule="auto"/>
              <w:contextualSpacing/>
              <w:jc w:val="center"/>
              <w:rPr>
                <w:rFonts w:ascii="Arial" w:hAnsi="Arial" w:cs="Arial"/>
                <w:b/>
                <w:sz w:val="24"/>
                <w:szCs w:val="24"/>
              </w:rPr>
            </w:pPr>
            <w:r w:rsidRPr="000A7729">
              <w:rPr>
                <w:rFonts w:ascii="Arial" w:hAnsi="Arial" w:cs="Arial"/>
                <w:b/>
                <w:sz w:val="24"/>
                <w:szCs w:val="24"/>
              </w:rPr>
              <w:t>0.318</w:t>
            </w:r>
          </w:p>
        </w:tc>
        <w:tc>
          <w:tcPr>
            <w:tcW w:w="1440" w:type="dxa"/>
            <w:tcBorders>
              <w:top w:val="nil"/>
              <w:left w:val="nil"/>
              <w:bottom w:val="nil"/>
              <w:right w:val="nil"/>
            </w:tcBorders>
            <w:vAlign w:val="center"/>
          </w:tcPr>
          <w:p w:rsidR="002B1A29" w:rsidRPr="00A9349E" w:rsidRDefault="002B1A29" w:rsidP="00896BF3">
            <w:pPr>
              <w:spacing w:line="240" w:lineRule="auto"/>
              <w:contextualSpacing/>
              <w:jc w:val="center"/>
              <w:rPr>
                <w:rFonts w:ascii="Arial" w:hAnsi="Arial" w:cs="Arial"/>
                <w:b/>
                <w:sz w:val="24"/>
                <w:szCs w:val="24"/>
              </w:rPr>
            </w:pPr>
            <w:r>
              <w:rPr>
                <w:rFonts w:ascii="Arial" w:hAnsi="Arial" w:cs="Arial"/>
                <w:b/>
                <w:sz w:val="24"/>
                <w:szCs w:val="24"/>
              </w:rPr>
              <w:t>0.339</w:t>
            </w:r>
          </w:p>
        </w:tc>
      </w:tr>
      <w:tr w:rsidR="002B1A29" w:rsidRPr="00DD0C33" w:rsidTr="00896BF3">
        <w:trPr>
          <w:trHeight w:val="562"/>
          <w:jc w:val="center"/>
        </w:trPr>
        <w:tc>
          <w:tcPr>
            <w:tcW w:w="4857" w:type="dxa"/>
            <w:tcBorders>
              <w:top w:val="nil"/>
              <w:left w:val="nil"/>
              <w:bottom w:val="nil"/>
              <w:right w:val="nil"/>
            </w:tcBorders>
            <w:vAlign w:val="center"/>
          </w:tcPr>
          <w:p w:rsidR="002B1A29" w:rsidRPr="00DD0C33" w:rsidRDefault="002B1A29" w:rsidP="00896BF3">
            <w:pPr>
              <w:spacing w:line="240" w:lineRule="auto"/>
              <w:contextualSpacing/>
              <w:rPr>
                <w:rFonts w:ascii="Arial" w:hAnsi="Arial" w:cs="Arial"/>
                <w:sz w:val="24"/>
                <w:szCs w:val="24"/>
              </w:rPr>
            </w:pPr>
            <w:r>
              <w:rPr>
                <w:rFonts w:ascii="Arial" w:hAnsi="Arial" w:cs="Arial"/>
                <w:sz w:val="24"/>
                <w:szCs w:val="24"/>
              </w:rPr>
              <w:t>Number of Chases</w:t>
            </w:r>
          </w:p>
        </w:tc>
        <w:tc>
          <w:tcPr>
            <w:tcW w:w="1440" w:type="dxa"/>
            <w:tcBorders>
              <w:top w:val="nil"/>
              <w:left w:val="nil"/>
              <w:bottom w:val="nil"/>
              <w:right w:val="nil"/>
            </w:tcBorders>
            <w:vAlign w:val="center"/>
          </w:tcPr>
          <w:p w:rsidR="002B1A29" w:rsidRPr="000A7729" w:rsidRDefault="002B1A29" w:rsidP="00896BF3">
            <w:pPr>
              <w:spacing w:line="240" w:lineRule="auto"/>
              <w:contextualSpacing/>
              <w:jc w:val="center"/>
              <w:rPr>
                <w:rFonts w:ascii="Arial" w:hAnsi="Arial" w:cs="Arial"/>
                <w:b/>
                <w:sz w:val="24"/>
                <w:szCs w:val="24"/>
              </w:rPr>
            </w:pPr>
            <w:r w:rsidRPr="000A7729">
              <w:rPr>
                <w:rFonts w:ascii="Arial" w:hAnsi="Arial" w:cs="Arial"/>
                <w:b/>
                <w:sz w:val="24"/>
                <w:szCs w:val="24"/>
              </w:rPr>
              <w:t>0.487</w:t>
            </w:r>
          </w:p>
        </w:tc>
        <w:tc>
          <w:tcPr>
            <w:tcW w:w="1440" w:type="dxa"/>
            <w:tcBorders>
              <w:top w:val="nil"/>
              <w:left w:val="nil"/>
              <w:bottom w:val="nil"/>
              <w:right w:val="nil"/>
            </w:tcBorders>
            <w:vAlign w:val="center"/>
          </w:tcPr>
          <w:p w:rsidR="002B1A29" w:rsidRPr="000A7729" w:rsidRDefault="002B1A29" w:rsidP="00896BF3">
            <w:pPr>
              <w:spacing w:line="240" w:lineRule="auto"/>
              <w:contextualSpacing/>
              <w:jc w:val="center"/>
              <w:rPr>
                <w:rFonts w:ascii="Arial" w:hAnsi="Arial" w:cs="Arial"/>
                <w:sz w:val="24"/>
                <w:szCs w:val="24"/>
              </w:rPr>
            </w:pPr>
            <w:r w:rsidRPr="000A7729">
              <w:rPr>
                <w:rFonts w:ascii="Arial" w:hAnsi="Arial" w:cs="Arial"/>
                <w:sz w:val="24"/>
                <w:szCs w:val="24"/>
              </w:rPr>
              <w:t>-0.032</w:t>
            </w:r>
          </w:p>
        </w:tc>
      </w:tr>
      <w:tr w:rsidR="002B1A29" w:rsidRPr="00DD0C33" w:rsidTr="00896BF3">
        <w:trPr>
          <w:trHeight w:val="562"/>
          <w:jc w:val="center"/>
        </w:trPr>
        <w:tc>
          <w:tcPr>
            <w:tcW w:w="4857" w:type="dxa"/>
            <w:tcBorders>
              <w:top w:val="nil"/>
              <w:left w:val="nil"/>
              <w:bottom w:val="nil"/>
              <w:right w:val="nil"/>
            </w:tcBorders>
            <w:vAlign w:val="center"/>
          </w:tcPr>
          <w:p w:rsidR="002B1A29" w:rsidRPr="00FD4113" w:rsidRDefault="002B1A29" w:rsidP="00896BF3">
            <w:pPr>
              <w:spacing w:line="240" w:lineRule="auto"/>
              <w:contextualSpacing/>
              <w:rPr>
                <w:rFonts w:ascii="Arial" w:hAnsi="Arial" w:cs="Arial"/>
                <w:sz w:val="24"/>
                <w:szCs w:val="24"/>
              </w:rPr>
            </w:pPr>
            <w:r w:rsidRPr="00FD4113">
              <w:rPr>
                <w:rFonts w:ascii="Arial" w:hAnsi="Arial" w:cs="Arial"/>
                <w:sz w:val="24"/>
                <w:szCs w:val="24"/>
              </w:rPr>
              <w:t>Chase Duration</w:t>
            </w:r>
          </w:p>
        </w:tc>
        <w:tc>
          <w:tcPr>
            <w:tcW w:w="1440" w:type="dxa"/>
            <w:tcBorders>
              <w:top w:val="nil"/>
              <w:left w:val="nil"/>
              <w:bottom w:val="nil"/>
              <w:right w:val="nil"/>
            </w:tcBorders>
            <w:vAlign w:val="center"/>
          </w:tcPr>
          <w:p w:rsidR="002B1A29" w:rsidRPr="000A7729" w:rsidRDefault="002B1A29" w:rsidP="00896BF3">
            <w:pPr>
              <w:spacing w:line="240" w:lineRule="auto"/>
              <w:contextualSpacing/>
              <w:jc w:val="center"/>
              <w:rPr>
                <w:rFonts w:ascii="Arial" w:hAnsi="Arial" w:cs="Arial"/>
                <w:b/>
                <w:sz w:val="24"/>
                <w:szCs w:val="24"/>
              </w:rPr>
            </w:pPr>
            <w:r w:rsidRPr="000A7729">
              <w:rPr>
                <w:rFonts w:ascii="Arial" w:hAnsi="Arial" w:cs="Arial"/>
                <w:b/>
                <w:sz w:val="24"/>
                <w:szCs w:val="24"/>
              </w:rPr>
              <w:t>0.479</w:t>
            </w:r>
          </w:p>
        </w:tc>
        <w:tc>
          <w:tcPr>
            <w:tcW w:w="1440" w:type="dxa"/>
            <w:tcBorders>
              <w:top w:val="nil"/>
              <w:left w:val="nil"/>
              <w:bottom w:val="nil"/>
              <w:right w:val="nil"/>
            </w:tcBorders>
            <w:vAlign w:val="center"/>
          </w:tcPr>
          <w:p w:rsidR="002B1A29" w:rsidRPr="000A7729" w:rsidRDefault="002B1A29" w:rsidP="00896BF3">
            <w:pPr>
              <w:spacing w:line="240" w:lineRule="auto"/>
              <w:contextualSpacing/>
              <w:jc w:val="center"/>
              <w:rPr>
                <w:rFonts w:ascii="Arial" w:hAnsi="Arial" w:cs="Arial"/>
                <w:sz w:val="24"/>
                <w:szCs w:val="24"/>
              </w:rPr>
            </w:pPr>
            <w:r w:rsidRPr="000A7729">
              <w:rPr>
                <w:rFonts w:ascii="Arial" w:hAnsi="Arial" w:cs="Arial"/>
                <w:sz w:val="24"/>
                <w:szCs w:val="24"/>
              </w:rPr>
              <w:t>-0.050</w:t>
            </w:r>
          </w:p>
        </w:tc>
      </w:tr>
      <w:tr w:rsidR="002B1A29" w:rsidRPr="00DD0C33" w:rsidTr="00896BF3">
        <w:trPr>
          <w:trHeight w:val="562"/>
          <w:jc w:val="center"/>
        </w:trPr>
        <w:tc>
          <w:tcPr>
            <w:tcW w:w="4857" w:type="dxa"/>
            <w:tcBorders>
              <w:top w:val="nil"/>
              <w:left w:val="nil"/>
              <w:bottom w:val="nil"/>
              <w:right w:val="nil"/>
            </w:tcBorders>
            <w:vAlign w:val="center"/>
          </w:tcPr>
          <w:p w:rsidR="002B1A29" w:rsidRPr="00FD4113" w:rsidRDefault="002B1A29" w:rsidP="00896BF3">
            <w:pPr>
              <w:spacing w:line="240" w:lineRule="auto"/>
              <w:contextualSpacing/>
              <w:rPr>
                <w:rFonts w:ascii="Arial" w:hAnsi="Arial" w:cs="Arial"/>
                <w:sz w:val="24"/>
                <w:szCs w:val="24"/>
              </w:rPr>
            </w:pPr>
            <w:r w:rsidRPr="00FD4113">
              <w:rPr>
                <w:rFonts w:ascii="Arial" w:hAnsi="Arial" w:cs="Arial"/>
                <w:sz w:val="24"/>
                <w:szCs w:val="24"/>
              </w:rPr>
              <w:t>Attack Latency</w:t>
            </w:r>
          </w:p>
        </w:tc>
        <w:tc>
          <w:tcPr>
            <w:tcW w:w="1440" w:type="dxa"/>
            <w:tcBorders>
              <w:top w:val="nil"/>
              <w:left w:val="nil"/>
              <w:bottom w:val="nil"/>
              <w:right w:val="nil"/>
            </w:tcBorders>
            <w:vAlign w:val="center"/>
          </w:tcPr>
          <w:p w:rsidR="002B1A29" w:rsidRPr="000A7729" w:rsidRDefault="002B1A29" w:rsidP="00896BF3">
            <w:pPr>
              <w:spacing w:line="240" w:lineRule="auto"/>
              <w:contextualSpacing/>
              <w:jc w:val="center"/>
              <w:rPr>
                <w:rFonts w:ascii="Arial" w:hAnsi="Arial" w:cs="Arial"/>
                <w:sz w:val="24"/>
                <w:szCs w:val="24"/>
              </w:rPr>
            </w:pPr>
            <w:r w:rsidRPr="000A7729">
              <w:rPr>
                <w:rFonts w:ascii="Arial" w:hAnsi="Arial" w:cs="Arial"/>
                <w:sz w:val="24"/>
                <w:szCs w:val="24"/>
              </w:rPr>
              <w:t>-0.172</w:t>
            </w:r>
          </w:p>
        </w:tc>
        <w:tc>
          <w:tcPr>
            <w:tcW w:w="1440" w:type="dxa"/>
            <w:tcBorders>
              <w:top w:val="nil"/>
              <w:left w:val="nil"/>
              <w:bottom w:val="nil"/>
              <w:right w:val="nil"/>
            </w:tcBorders>
            <w:vAlign w:val="center"/>
          </w:tcPr>
          <w:p w:rsidR="002B1A29" w:rsidRPr="00DD0C33" w:rsidRDefault="002B1A29" w:rsidP="00896BF3">
            <w:pPr>
              <w:spacing w:line="240" w:lineRule="auto"/>
              <w:contextualSpacing/>
              <w:jc w:val="center"/>
              <w:rPr>
                <w:rFonts w:ascii="Arial" w:hAnsi="Arial" w:cs="Arial"/>
                <w:sz w:val="24"/>
                <w:szCs w:val="24"/>
              </w:rPr>
            </w:pPr>
            <w:r>
              <w:rPr>
                <w:rFonts w:ascii="Arial" w:hAnsi="Arial" w:cs="Arial"/>
                <w:sz w:val="24"/>
                <w:szCs w:val="24"/>
              </w:rPr>
              <w:t>0.083</w:t>
            </w:r>
          </w:p>
        </w:tc>
      </w:tr>
      <w:tr w:rsidR="002B1A29" w:rsidRPr="00DD0C33" w:rsidTr="00896BF3">
        <w:trPr>
          <w:trHeight w:val="562"/>
          <w:jc w:val="center"/>
        </w:trPr>
        <w:tc>
          <w:tcPr>
            <w:tcW w:w="4857" w:type="dxa"/>
            <w:tcBorders>
              <w:top w:val="nil"/>
              <w:left w:val="nil"/>
              <w:bottom w:val="nil"/>
              <w:right w:val="nil"/>
            </w:tcBorders>
            <w:vAlign w:val="center"/>
          </w:tcPr>
          <w:p w:rsidR="002B1A29" w:rsidRPr="00FD4113" w:rsidRDefault="002B1A29" w:rsidP="00896BF3">
            <w:pPr>
              <w:spacing w:line="240" w:lineRule="auto"/>
              <w:contextualSpacing/>
              <w:rPr>
                <w:rFonts w:ascii="Arial" w:hAnsi="Arial" w:cs="Arial"/>
                <w:sz w:val="24"/>
                <w:szCs w:val="24"/>
              </w:rPr>
            </w:pPr>
            <w:r>
              <w:rPr>
                <w:rFonts w:ascii="Arial" w:hAnsi="Arial" w:cs="Arial"/>
                <w:sz w:val="24"/>
                <w:szCs w:val="24"/>
              </w:rPr>
              <w:t>Basal DHEA</w:t>
            </w:r>
          </w:p>
        </w:tc>
        <w:tc>
          <w:tcPr>
            <w:tcW w:w="1440" w:type="dxa"/>
            <w:tcBorders>
              <w:top w:val="nil"/>
              <w:left w:val="nil"/>
              <w:bottom w:val="nil"/>
              <w:right w:val="nil"/>
            </w:tcBorders>
            <w:vAlign w:val="center"/>
          </w:tcPr>
          <w:p w:rsidR="002B1A29" w:rsidRPr="000A7729" w:rsidRDefault="002B1A29" w:rsidP="00896BF3">
            <w:pPr>
              <w:spacing w:line="240" w:lineRule="auto"/>
              <w:contextualSpacing/>
              <w:jc w:val="center"/>
              <w:rPr>
                <w:rFonts w:ascii="Arial" w:hAnsi="Arial" w:cs="Arial"/>
                <w:sz w:val="24"/>
                <w:szCs w:val="24"/>
              </w:rPr>
            </w:pPr>
            <w:r w:rsidRPr="000A7729">
              <w:rPr>
                <w:rFonts w:ascii="Arial" w:hAnsi="Arial" w:cs="Arial"/>
                <w:sz w:val="24"/>
                <w:szCs w:val="24"/>
              </w:rPr>
              <w:t>0.024</w:t>
            </w:r>
          </w:p>
        </w:tc>
        <w:tc>
          <w:tcPr>
            <w:tcW w:w="1440" w:type="dxa"/>
            <w:tcBorders>
              <w:top w:val="nil"/>
              <w:left w:val="nil"/>
              <w:bottom w:val="nil"/>
              <w:right w:val="nil"/>
            </w:tcBorders>
            <w:vAlign w:val="center"/>
          </w:tcPr>
          <w:p w:rsidR="002B1A29" w:rsidRPr="006508F6" w:rsidRDefault="002B1A29" w:rsidP="00896BF3">
            <w:pPr>
              <w:spacing w:line="240" w:lineRule="auto"/>
              <w:contextualSpacing/>
              <w:jc w:val="center"/>
              <w:rPr>
                <w:rFonts w:ascii="Arial" w:hAnsi="Arial" w:cs="Arial"/>
                <w:b/>
                <w:sz w:val="24"/>
                <w:szCs w:val="24"/>
              </w:rPr>
            </w:pPr>
            <w:r w:rsidRPr="006508F6">
              <w:rPr>
                <w:rFonts w:ascii="Arial" w:hAnsi="Arial" w:cs="Arial"/>
                <w:b/>
                <w:sz w:val="24"/>
                <w:szCs w:val="24"/>
              </w:rPr>
              <w:t>-0.345</w:t>
            </w:r>
          </w:p>
        </w:tc>
      </w:tr>
      <w:tr w:rsidR="002B1A29" w:rsidRPr="00DD0C33" w:rsidTr="00896BF3">
        <w:trPr>
          <w:trHeight w:val="562"/>
          <w:jc w:val="center"/>
        </w:trPr>
        <w:tc>
          <w:tcPr>
            <w:tcW w:w="4857" w:type="dxa"/>
            <w:tcBorders>
              <w:top w:val="nil"/>
              <w:left w:val="nil"/>
              <w:bottom w:val="nil"/>
              <w:right w:val="nil"/>
            </w:tcBorders>
            <w:vAlign w:val="center"/>
          </w:tcPr>
          <w:p w:rsidR="002B1A29" w:rsidRPr="00FD4113" w:rsidRDefault="002B1A29" w:rsidP="00896BF3">
            <w:pPr>
              <w:spacing w:line="240" w:lineRule="auto"/>
              <w:contextualSpacing/>
              <w:rPr>
                <w:rFonts w:ascii="Arial" w:hAnsi="Arial" w:cs="Arial"/>
                <w:sz w:val="24"/>
                <w:szCs w:val="24"/>
              </w:rPr>
            </w:pPr>
            <w:r>
              <w:rPr>
                <w:rFonts w:ascii="Arial" w:hAnsi="Arial" w:cs="Arial"/>
                <w:sz w:val="24"/>
                <w:szCs w:val="24"/>
              </w:rPr>
              <w:t>∆DHEA</w:t>
            </w:r>
          </w:p>
        </w:tc>
        <w:tc>
          <w:tcPr>
            <w:tcW w:w="1440" w:type="dxa"/>
            <w:tcBorders>
              <w:top w:val="nil"/>
              <w:left w:val="nil"/>
              <w:bottom w:val="nil"/>
              <w:right w:val="nil"/>
            </w:tcBorders>
            <w:vAlign w:val="center"/>
          </w:tcPr>
          <w:p w:rsidR="002B1A29" w:rsidRPr="000A7729" w:rsidRDefault="002B1A29" w:rsidP="00896BF3">
            <w:pPr>
              <w:spacing w:line="240" w:lineRule="auto"/>
              <w:contextualSpacing/>
              <w:jc w:val="center"/>
              <w:rPr>
                <w:rFonts w:ascii="Arial" w:hAnsi="Arial" w:cs="Arial"/>
                <w:sz w:val="24"/>
                <w:szCs w:val="24"/>
              </w:rPr>
            </w:pPr>
            <w:r w:rsidRPr="000A7729">
              <w:rPr>
                <w:rFonts w:ascii="Arial" w:hAnsi="Arial" w:cs="Arial"/>
                <w:sz w:val="24"/>
                <w:szCs w:val="24"/>
              </w:rPr>
              <w:t>-0.121</w:t>
            </w:r>
          </w:p>
        </w:tc>
        <w:tc>
          <w:tcPr>
            <w:tcW w:w="1440" w:type="dxa"/>
            <w:tcBorders>
              <w:top w:val="nil"/>
              <w:left w:val="nil"/>
              <w:bottom w:val="nil"/>
              <w:right w:val="nil"/>
            </w:tcBorders>
            <w:vAlign w:val="center"/>
          </w:tcPr>
          <w:p w:rsidR="002B1A29" w:rsidRPr="000A7729" w:rsidRDefault="002B1A29" w:rsidP="00896BF3">
            <w:pPr>
              <w:spacing w:line="240" w:lineRule="auto"/>
              <w:contextualSpacing/>
              <w:jc w:val="center"/>
              <w:rPr>
                <w:rFonts w:ascii="Arial" w:hAnsi="Arial" w:cs="Arial"/>
                <w:b/>
                <w:sz w:val="24"/>
                <w:szCs w:val="24"/>
              </w:rPr>
            </w:pPr>
            <w:r w:rsidRPr="000A7729">
              <w:rPr>
                <w:rFonts w:ascii="Arial" w:hAnsi="Arial" w:cs="Arial"/>
                <w:b/>
                <w:sz w:val="24"/>
                <w:szCs w:val="24"/>
              </w:rPr>
              <w:t>0.701</w:t>
            </w:r>
          </w:p>
        </w:tc>
      </w:tr>
      <w:tr w:rsidR="002B1A29" w:rsidRPr="00DD0C33" w:rsidTr="00896BF3">
        <w:trPr>
          <w:trHeight w:val="562"/>
          <w:jc w:val="center"/>
        </w:trPr>
        <w:tc>
          <w:tcPr>
            <w:tcW w:w="4857" w:type="dxa"/>
            <w:tcBorders>
              <w:top w:val="nil"/>
              <w:left w:val="nil"/>
              <w:bottom w:val="nil"/>
              <w:right w:val="nil"/>
            </w:tcBorders>
            <w:vAlign w:val="center"/>
          </w:tcPr>
          <w:p w:rsidR="002B1A29" w:rsidRPr="00FD4113" w:rsidRDefault="002B1A29" w:rsidP="00896BF3">
            <w:pPr>
              <w:spacing w:line="240" w:lineRule="auto"/>
              <w:contextualSpacing/>
              <w:rPr>
                <w:rFonts w:ascii="Arial" w:hAnsi="Arial" w:cs="Arial"/>
                <w:sz w:val="24"/>
                <w:szCs w:val="24"/>
              </w:rPr>
            </w:pPr>
            <w:r>
              <w:rPr>
                <w:rFonts w:ascii="Arial" w:hAnsi="Arial" w:cs="Arial"/>
                <w:sz w:val="24"/>
                <w:szCs w:val="24"/>
              </w:rPr>
              <w:t>Basal T</w:t>
            </w:r>
          </w:p>
        </w:tc>
        <w:tc>
          <w:tcPr>
            <w:tcW w:w="1440" w:type="dxa"/>
            <w:tcBorders>
              <w:top w:val="nil"/>
              <w:left w:val="nil"/>
              <w:bottom w:val="nil"/>
              <w:right w:val="nil"/>
            </w:tcBorders>
            <w:vAlign w:val="center"/>
          </w:tcPr>
          <w:p w:rsidR="002B1A29" w:rsidRPr="000A7729" w:rsidRDefault="002B1A29" w:rsidP="00896BF3">
            <w:pPr>
              <w:spacing w:line="240" w:lineRule="auto"/>
              <w:contextualSpacing/>
              <w:jc w:val="center"/>
              <w:rPr>
                <w:rFonts w:ascii="Arial" w:hAnsi="Arial" w:cs="Arial"/>
                <w:sz w:val="24"/>
                <w:szCs w:val="24"/>
              </w:rPr>
            </w:pPr>
            <w:r w:rsidRPr="000A7729">
              <w:rPr>
                <w:rFonts w:ascii="Arial" w:hAnsi="Arial" w:cs="Arial"/>
                <w:sz w:val="24"/>
                <w:szCs w:val="24"/>
              </w:rPr>
              <w:t>-0.058</w:t>
            </w:r>
          </w:p>
        </w:tc>
        <w:tc>
          <w:tcPr>
            <w:tcW w:w="1440" w:type="dxa"/>
            <w:tcBorders>
              <w:top w:val="nil"/>
              <w:left w:val="nil"/>
              <w:bottom w:val="nil"/>
              <w:right w:val="nil"/>
            </w:tcBorders>
            <w:vAlign w:val="center"/>
          </w:tcPr>
          <w:p w:rsidR="002B1A29" w:rsidRPr="000A7729" w:rsidRDefault="002B1A29" w:rsidP="00896BF3">
            <w:pPr>
              <w:spacing w:line="240" w:lineRule="auto"/>
              <w:contextualSpacing/>
              <w:jc w:val="center"/>
              <w:rPr>
                <w:rFonts w:ascii="Arial" w:hAnsi="Arial" w:cs="Arial"/>
                <w:b/>
                <w:sz w:val="24"/>
                <w:szCs w:val="24"/>
              </w:rPr>
            </w:pPr>
            <w:r w:rsidRPr="000A7729">
              <w:rPr>
                <w:rFonts w:ascii="Arial" w:hAnsi="Arial" w:cs="Arial"/>
                <w:b/>
                <w:sz w:val="24"/>
                <w:szCs w:val="24"/>
              </w:rPr>
              <w:t>0.436</w:t>
            </w:r>
          </w:p>
        </w:tc>
      </w:tr>
      <w:tr w:rsidR="002B1A29" w:rsidRPr="00DD0C33" w:rsidTr="00896BF3">
        <w:trPr>
          <w:trHeight w:val="562"/>
          <w:jc w:val="center"/>
        </w:trPr>
        <w:tc>
          <w:tcPr>
            <w:tcW w:w="4857" w:type="dxa"/>
            <w:tcBorders>
              <w:top w:val="nil"/>
              <w:left w:val="nil"/>
              <w:bottom w:val="single" w:sz="4" w:space="0" w:color="auto"/>
              <w:right w:val="nil"/>
            </w:tcBorders>
            <w:vAlign w:val="center"/>
          </w:tcPr>
          <w:p w:rsidR="002B1A29" w:rsidRDefault="002B1A29" w:rsidP="00896BF3">
            <w:pPr>
              <w:spacing w:line="240" w:lineRule="auto"/>
              <w:contextualSpacing/>
              <w:rPr>
                <w:rFonts w:ascii="Arial" w:hAnsi="Arial" w:cs="Arial"/>
                <w:sz w:val="24"/>
                <w:szCs w:val="24"/>
              </w:rPr>
            </w:pPr>
            <w:r>
              <w:rPr>
                <w:rFonts w:ascii="Arial" w:hAnsi="Arial" w:cs="Arial"/>
                <w:sz w:val="24"/>
                <w:szCs w:val="24"/>
              </w:rPr>
              <w:t>∆T</w:t>
            </w:r>
          </w:p>
        </w:tc>
        <w:tc>
          <w:tcPr>
            <w:tcW w:w="1440" w:type="dxa"/>
            <w:tcBorders>
              <w:top w:val="nil"/>
              <w:left w:val="nil"/>
              <w:bottom w:val="single" w:sz="4" w:space="0" w:color="auto"/>
              <w:right w:val="nil"/>
            </w:tcBorders>
            <w:vAlign w:val="center"/>
          </w:tcPr>
          <w:p w:rsidR="002B1A29" w:rsidRPr="00A9349E" w:rsidRDefault="002B1A29" w:rsidP="00896BF3">
            <w:pPr>
              <w:spacing w:line="240" w:lineRule="auto"/>
              <w:contextualSpacing/>
              <w:jc w:val="center"/>
              <w:rPr>
                <w:rFonts w:ascii="Arial" w:hAnsi="Arial" w:cs="Arial"/>
                <w:b/>
                <w:sz w:val="24"/>
                <w:szCs w:val="24"/>
              </w:rPr>
            </w:pPr>
            <w:r>
              <w:rPr>
                <w:rFonts w:ascii="Arial" w:hAnsi="Arial" w:cs="Arial"/>
                <w:b/>
                <w:sz w:val="24"/>
                <w:szCs w:val="24"/>
              </w:rPr>
              <w:t>-0.384</w:t>
            </w:r>
          </w:p>
        </w:tc>
        <w:tc>
          <w:tcPr>
            <w:tcW w:w="1440" w:type="dxa"/>
            <w:tcBorders>
              <w:top w:val="nil"/>
              <w:left w:val="nil"/>
              <w:bottom w:val="single" w:sz="4" w:space="0" w:color="auto"/>
              <w:right w:val="nil"/>
            </w:tcBorders>
            <w:vAlign w:val="center"/>
          </w:tcPr>
          <w:p w:rsidR="002B1A29" w:rsidRDefault="002B1A29" w:rsidP="00896BF3">
            <w:pPr>
              <w:spacing w:line="240" w:lineRule="auto"/>
              <w:contextualSpacing/>
              <w:jc w:val="center"/>
              <w:rPr>
                <w:rFonts w:ascii="Arial" w:hAnsi="Arial" w:cs="Arial"/>
                <w:sz w:val="24"/>
                <w:szCs w:val="24"/>
              </w:rPr>
            </w:pPr>
            <w:r>
              <w:rPr>
                <w:rFonts w:ascii="Arial" w:hAnsi="Arial" w:cs="Arial"/>
                <w:sz w:val="24"/>
                <w:szCs w:val="24"/>
              </w:rPr>
              <w:t>0.131</w:t>
            </w:r>
          </w:p>
        </w:tc>
      </w:tr>
      <w:tr w:rsidR="002B1A29" w:rsidRPr="00DD0C33" w:rsidTr="00896BF3">
        <w:trPr>
          <w:trHeight w:val="562"/>
          <w:jc w:val="center"/>
        </w:trPr>
        <w:tc>
          <w:tcPr>
            <w:tcW w:w="4857" w:type="dxa"/>
            <w:tcBorders>
              <w:top w:val="single" w:sz="4" w:space="0" w:color="auto"/>
              <w:left w:val="nil"/>
              <w:bottom w:val="single" w:sz="4" w:space="0" w:color="auto"/>
              <w:right w:val="nil"/>
            </w:tcBorders>
            <w:vAlign w:val="center"/>
          </w:tcPr>
          <w:p w:rsidR="002B1A29" w:rsidRPr="001F15F3" w:rsidRDefault="002B1A29" w:rsidP="00896BF3">
            <w:pPr>
              <w:spacing w:line="240" w:lineRule="auto"/>
              <w:contextualSpacing/>
              <w:rPr>
                <w:rFonts w:ascii="Arial" w:hAnsi="Arial" w:cs="Arial"/>
                <w:b/>
                <w:sz w:val="24"/>
                <w:szCs w:val="24"/>
              </w:rPr>
            </w:pPr>
            <w:r w:rsidRPr="001F15F3">
              <w:rPr>
                <w:rFonts w:ascii="Arial" w:hAnsi="Arial" w:cs="Arial"/>
                <w:b/>
                <w:sz w:val="24"/>
                <w:szCs w:val="24"/>
              </w:rPr>
              <w:t>Eigenvalues</w:t>
            </w:r>
          </w:p>
        </w:tc>
        <w:tc>
          <w:tcPr>
            <w:tcW w:w="1440" w:type="dxa"/>
            <w:tcBorders>
              <w:top w:val="single" w:sz="4" w:space="0" w:color="auto"/>
              <w:left w:val="nil"/>
              <w:bottom w:val="single" w:sz="4" w:space="0" w:color="auto"/>
              <w:right w:val="nil"/>
            </w:tcBorders>
            <w:vAlign w:val="center"/>
          </w:tcPr>
          <w:p w:rsidR="002B1A29" w:rsidRPr="00E94F32" w:rsidRDefault="002B1A29" w:rsidP="00896BF3">
            <w:pPr>
              <w:spacing w:line="240" w:lineRule="auto"/>
              <w:contextualSpacing/>
              <w:jc w:val="center"/>
              <w:rPr>
                <w:rFonts w:ascii="Arial" w:hAnsi="Arial" w:cs="Arial"/>
                <w:sz w:val="24"/>
                <w:szCs w:val="24"/>
              </w:rPr>
            </w:pPr>
            <w:r w:rsidRPr="00E94F32">
              <w:rPr>
                <w:rFonts w:ascii="Arial" w:hAnsi="Arial" w:cs="Arial"/>
                <w:sz w:val="24"/>
                <w:szCs w:val="24"/>
              </w:rPr>
              <w:t>2.674</w:t>
            </w:r>
          </w:p>
        </w:tc>
        <w:tc>
          <w:tcPr>
            <w:tcW w:w="1440" w:type="dxa"/>
            <w:tcBorders>
              <w:top w:val="single" w:sz="4" w:space="0" w:color="auto"/>
              <w:left w:val="nil"/>
              <w:bottom w:val="single" w:sz="4" w:space="0" w:color="auto"/>
              <w:right w:val="nil"/>
            </w:tcBorders>
            <w:vAlign w:val="center"/>
          </w:tcPr>
          <w:p w:rsidR="002B1A29" w:rsidRPr="00E94F32" w:rsidRDefault="002B1A29" w:rsidP="00896BF3">
            <w:pPr>
              <w:spacing w:line="240" w:lineRule="auto"/>
              <w:contextualSpacing/>
              <w:jc w:val="center"/>
              <w:rPr>
                <w:rFonts w:ascii="Arial" w:hAnsi="Arial" w:cs="Arial"/>
                <w:sz w:val="24"/>
                <w:szCs w:val="24"/>
              </w:rPr>
            </w:pPr>
            <w:r w:rsidRPr="00E94F32">
              <w:rPr>
                <w:rFonts w:ascii="Arial" w:hAnsi="Arial" w:cs="Arial"/>
                <w:sz w:val="24"/>
                <w:szCs w:val="24"/>
              </w:rPr>
              <w:t>1.350</w:t>
            </w:r>
          </w:p>
        </w:tc>
      </w:tr>
    </w:tbl>
    <w:p w:rsidR="002B1A29" w:rsidRDefault="002B1A29" w:rsidP="00D55268">
      <w:pPr>
        <w:spacing w:line="240" w:lineRule="auto"/>
        <w:contextualSpacing/>
        <w:rPr>
          <w:rFonts w:ascii="Arial" w:hAnsi="Arial" w:cs="Arial"/>
        </w:rPr>
      </w:pPr>
    </w:p>
    <w:p w:rsidR="002B1A29" w:rsidRDefault="002B1A29" w:rsidP="00D55268">
      <w:pPr>
        <w:spacing w:line="240" w:lineRule="auto"/>
        <w:contextualSpacing/>
        <w:rPr>
          <w:rFonts w:ascii="Arial" w:hAnsi="Arial" w:cs="Arial"/>
        </w:rPr>
      </w:pPr>
      <w:r w:rsidRPr="00B23F92">
        <w:rPr>
          <w:rFonts w:ascii="Arial" w:hAnsi="Arial" w:cs="Arial"/>
        </w:rPr>
        <w:t xml:space="preserve">Loading values </w:t>
      </w:r>
      <w:r>
        <w:rPr>
          <w:rFonts w:ascii="Arial" w:hAnsi="Arial" w:cs="Arial"/>
        </w:rPr>
        <w:t>for principal components 1 and 3 (PC1 and PC3</w:t>
      </w:r>
      <w:r w:rsidRPr="00B23F92">
        <w:rPr>
          <w:rFonts w:ascii="Arial" w:hAnsi="Arial" w:cs="Arial"/>
        </w:rPr>
        <w:t xml:space="preserve">, respectively) are shown for the PCA </w:t>
      </w:r>
      <w:r>
        <w:rPr>
          <w:rFonts w:ascii="Arial" w:hAnsi="Arial" w:cs="Arial"/>
        </w:rPr>
        <w:t xml:space="preserve">in Figure 4, in which aggression and circulating androgen profiles were compared across seasonal phenotypes. The PCA consisted of both aggression variables (number of attacks, attack duration, number of chases, chase duration, latency to first attack) and serum androgen concentrations [basal </w:t>
      </w:r>
      <w:proofErr w:type="spellStart"/>
      <w:r w:rsidRPr="000A7729">
        <w:rPr>
          <w:rFonts w:ascii="Arial" w:hAnsi="Arial" w:cs="Arial"/>
        </w:rPr>
        <w:t>dehydroepiandrosterone</w:t>
      </w:r>
      <w:proofErr w:type="spellEnd"/>
      <w:r w:rsidRPr="000A7729">
        <w:rPr>
          <w:rFonts w:ascii="Arial" w:hAnsi="Arial" w:cs="Arial"/>
        </w:rPr>
        <w:t xml:space="preserve"> (DHEA), ∆DHEA, basal testosterone (T), ∆T] in long day (LD) hamsters, </w:t>
      </w:r>
      <w:r>
        <w:rPr>
          <w:rFonts w:ascii="Arial" w:hAnsi="Arial" w:cs="Arial"/>
        </w:rPr>
        <w:t>LD</w:t>
      </w:r>
      <w:r w:rsidRPr="000A7729">
        <w:rPr>
          <w:rFonts w:ascii="Arial" w:hAnsi="Arial" w:cs="Arial"/>
        </w:rPr>
        <w:t xml:space="preserve"> hamsters administered timed melatonin injections (LD-M), and short </w:t>
      </w:r>
      <w:r>
        <w:rPr>
          <w:rFonts w:ascii="Arial" w:hAnsi="Arial" w:cs="Arial"/>
        </w:rPr>
        <w:t>day (SD) hamsters following 9</w:t>
      </w:r>
      <w:r w:rsidRPr="000A7729">
        <w:rPr>
          <w:rFonts w:ascii="Arial" w:hAnsi="Arial" w:cs="Arial"/>
        </w:rPr>
        <w:t xml:space="preserve"> weeks of treatment</w:t>
      </w:r>
      <w:r>
        <w:rPr>
          <w:rFonts w:ascii="Arial" w:hAnsi="Arial" w:cs="Arial"/>
        </w:rPr>
        <w:t xml:space="preserve">. </w:t>
      </w:r>
      <w:r w:rsidRPr="000A7729">
        <w:rPr>
          <w:rFonts w:ascii="Arial" w:hAnsi="Arial" w:cs="Arial"/>
        </w:rPr>
        <w:t xml:space="preserve">Data were used from 7 LD hamsters, 11 LD-M hamsters, and 15 SD hamsters. PC1 accounted for 29.7% of the </w:t>
      </w:r>
      <w:r>
        <w:rPr>
          <w:rFonts w:ascii="Arial" w:hAnsi="Arial" w:cs="Arial"/>
        </w:rPr>
        <w:t xml:space="preserve">total </w:t>
      </w:r>
      <w:r w:rsidRPr="000A7729">
        <w:rPr>
          <w:rFonts w:ascii="Arial" w:hAnsi="Arial" w:cs="Arial"/>
        </w:rPr>
        <w:t>variance</w:t>
      </w:r>
      <w:r>
        <w:rPr>
          <w:rFonts w:ascii="Arial" w:hAnsi="Arial" w:cs="Arial"/>
        </w:rPr>
        <w:t>, whereas PC3</w:t>
      </w:r>
      <w:r w:rsidRPr="000A7729">
        <w:rPr>
          <w:rFonts w:ascii="Arial" w:hAnsi="Arial" w:cs="Arial"/>
        </w:rPr>
        <w:t xml:space="preserve"> accounted for 15.0% of the </w:t>
      </w:r>
      <w:r>
        <w:rPr>
          <w:rFonts w:ascii="Arial" w:hAnsi="Arial" w:cs="Arial"/>
        </w:rPr>
        <w:t xml:space="preserve">total </w:t>
      </w:r>
      <w:r w:rsidRPr="000A7729">
        <w:rPr>
          <w:rFonts w:ascii="Arial" w:hAnsi="Arial" w:cs="Arial"/>
        </w:rPr>
        <w:t>variance</w:t>
      </w:r>
      <w:r>
        <w:rPr>
          <w:rFonts w:ascii="Arial" w:hAnsi="Arial" w:cs="Arial"/>
        </w:rPr>
        <w:t xml:space="preserve"> (cumulative variance explained = 44.7%).</w:t>
      </w:r>
      <w:r w:rsidRPr="000A7729">
        <w:rPr>
          <w:rFonts w:ascii="Arial" w:hAnsi="Arial" w:cs="Arial"/>
        </w:rPr>
        <w:t xml:space="preserve"> Bold values indicate variables that loaded strongly (less than -0.3 or greater than 0.3) onto a given PC.</w:t>
      </w:r>
    </w:p>
    <w:p w:rsidR="002B1A29" w:rsidRDefault="002B1A29">
      <w:pPr>
        <w:spacing w:after="160" w:line="259" w:lineRule="auto"/>
        <w:rPr>
          <w:rFonts w:ascii="Arial" w:hAnsi="Arial" w:cs="Arial"/>
          <w:b/>
          <w:sz w:val="24"/>
          <w:szCs w:val="24"/>
        </w:rPr>
      </w:pPr>
    </w:p>
    <w:p w:rsidR="002B1A29" w:rsidRDefault="002B1A29">
      <w:pPr>
        <w:spacing w:after="160" w:line="259" w:lineRule="auto"/>
        <w:rPr>
          <w:rFonts w:ascii="Arial" w:hAnsi="Arial" w:cs="Arial"/>
          <w:b/>
          <w:sz w:val="24"/>
          <w:szCs w:val="24"/>
        </w:rPr>
      </w:pPr>
    </w:p>
    <w:p w:rsidR="002B1A29" w:rsidRDefault="002B1A29">
      <w:pPr>
        <w:spacing w:after="160" w:line="259" w:lineRule="auto"/>
        <w:rPr>
          <w:rFonts w:ascii="Arial" w:hAnsi="Arial" w:cs="Arial"/>
          <w:b/>
          <w:sz w:val="24"/>
          <w:szCs w:val="24"/>
        </w:rPr>
      </w:pPr>
    </w:p>
    <w:p w:rsidR="002B1A29" w:rsidRDefault="002B1A29">
      <w:pPr>
        <w:spacing w:after="160" w:line="259" w:lineRule="auto"/>
        <w:rPr>
          <w:rFonts w:ascii="Arial" w:hAnsi="Arial" w:cs="Arial"/>
          <w:b/>
          <w:sz w:val="24"/>
          <w:szCs w:val="24"/>
        </w:rPr>
      </w:pPr>
    </w:p>
    <w:p w:rsidR="002B1A29" w:rsidRDefault="002B1A29">
      <w:pPr>
        <w:spacing w:after="160" w:line="259" w:lineRule="auto"/>
        <w:rPr>
          <w:rFonts w:ascii="Arial" w:hAnsi="Arial" w:cs="Arial"/>
          <w:b/>
          <w:sz w:val="24"/>
          <w:szCs w:val="24"/>
        </w:rPr>
      </w:pPr>
    </w:p>
    <w:p w:rsidR="002B1A29" w:rsidRDefault="002B1A29">
      <w:pPr>
        <w:spacing w:after="160" w:line="259" w:lineRule="auto"/>
        <w:rPr>
          <w:rFonts w:ascii="Arial" w:hAnsi="Arial" w:cs="Arial"/>
          <w:b/>
          <w:sz w:val="24"/>
          <w:szCs w:val="24"/>
        </w:rPr>
      </w:pPr>
      <w:r>
        <w:rPr>
          <w:rFonts w:ascii="Arial" w:hAnsi="Arial" w:cs="Arial"/>
          <w:b/>
          <w:sz w:val="24"/>
          <w:szCs w:val="24"/>
        </w:rPr>
        <w:lastRenderedPageBreak/>
        <w:t>FIGURES</w:t>
      </w:r>
    </w:p>
    <w:p w:rsidR="002B1A29" w:rsidRDefault="002B1A29">
      <w:pPr>
        <w:spacing w:after="160" w:line="259" w:lineRule="auto"/>
        <w:rPr>
          <w:rFonts w:ascii="Arial" w:hAnsi="Arial" w:cs="Arial"/>
          <w:b/>
          <w:sz w:val="24"/>
          <w:szCs w:val="24"/>
        </w:rPr>
      </w:pPr>
      <w:r>
        <w:rPr>
          <w:noProof/>
        </w:rPr>
        <w:drawing>
          <wp:anchor distT="0" distB="0" distL="114300" distR="114300" simplePos="0" relativeHeight="251659264" behindDoc="1" locked="0" layoutInCell="1" allowOverlap="1" wp14:anchorId="4746754C" wp14:editId="53617241">
            <wp:simplePos x="0" y="0"/>
            <wp:positionH relativeFrom="margin">
              <wp:posOffset>447675</wp:posOffset>
            </wp:positionH>
            <wp:positionV relativeFrom="paragraph">
              <wp:posOffset>191770</wp:posOffset>
            </wp:positionV>
            <wp:extent cx="5041900" cy="2997200"/>
            <wp:effectExtent l="0" t="0" r="6350" b="0"/>
            <wp:wrapTight wrapText="bothSides">
              <wp:wrapPolygon edited="0">
                <wp:start x="0" y="0"/>
                <wp:lineTo x="0" y="21417"/>
                <wp:lineTo x="21546" y="21417"/>
                <wp:lineTo x="215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041900" cy="2997200"/>
                    </a:xfrm>
                    <a:prstGeom prst="rect">
                      <a:avLst/>
                    </a:prstGeom>
                  </pic:spPr>
                </pic:pic>
              </a:graphicData>
            </a:graphic>
            <wp14:sizeRelH relativeFrom="page">
              <wp14:pctWidth>0</wp14:pctWidth>
            </wp14:sizeRelH>
            <wp14:sizeRelV relativeFrom="page">
              <wp14:pctHeight>0</wp14:pctHeight>
            </wp14:sizeRelV>
          </wp:anchor>
        </w:drawing>
      </w:r>
    </w:p>
    <w:p w:rsidR="002B1A29" w:rsidRDefault="002B1A29">
      <w:pPr>
        <w:spacing w:after="160" w:line="259" w:lineRule="auto"/>
        <w:rPr>
          <w:rFonts w:ascii="Arial" w:hAnsi="Arial" w:cs="Arial"/>
          <w:b/>
          <w:sz w:val="24"/>
          <w:szCs w:val="24"/>
        </w:rPr>
      </w:pPr>
    </w:p>
    <w:p w:rsidR="002B1A29" w:rsidRDefault="002B1A29">
      <w:pPr>
        <w:spacing w:after="160" w:line="259" w:lineRule="auto"/>
        <w:rPr>
          <w:rFonts w:ascii="Arial" w:hAnsi="Arial" w:cs="Arial"/>
          <w:b/>
          <w:sz w:val="24"/>
          <w:szCs w:val="24"/>
        </w:rPr>
      </w:pPr>
    </w:p>
    <w:p w:rsidR="002B1A29" w:rsidRDefault="002B1A29">
      <w:pPr>
        <w:spacing w:after="160" w:line="259" w:lineRule="auto"/>
        <w:rPr>
          <w:rFonts w:ascii="Arial" w:hAnsi="Arial" w:cs="Arial"/>
          <w:b/>
          <w:sz w:val="24"/>
          <w:szCs w:val="24"/>
        </w:rPr>
      </w:pPr>
    </w:p>
    <w:p w:rsidR="002B1A29" w:rsidRDefault="002B1A29">
      <w:pPr>
        <w:spacing w:after="160" w:line="259" w:lineRule="auto"/>
        <w:rPr>
          <w:rFonts w:ascii="Arial" w:hAnsi="Arial" w:cs="Arial"/>
          <w:b/>
          <w:sz w:val="24"/>
          <w:szCs w:val="24"/>
        </w:rPr>
      </w:pPr>
    </w:p>
    <w:p w:rsidR="002B1A29" w:rsidRDefault="002B1A29">
      <w:pPr>
        <w:spacing w:after="160" w:line="259" w:lineRule="auto"/>
        <w:rPr>
          <w:rFonts w:ascii="Arial" w:hAnsi="Arial" w:cs="Arial"/>
          <w:b/>
          <w:sz w:val="24"/>
          <w:szCs w:val="24"/>
        </w:rPr>
      </w:pPr>
    </w:p>
    <w:p w:rsidR="002B1A29" w:rsidRDefault="002B1A29">
      <w:pPr>
        <w:spacing w:after="160" w:line="259" w:lineRule="auto"/>
        <w:rPr>
          <w:rFonts w:ascii="Arial" w:hAnsi="Arial" w:cs="Arial"/>
          <w:b/>
          <w:sz w:val="24"/>
          <w:szCs w:val="24"/>
        </w:rPr>
      </w:pPr>
    </w:p>
    <w:p w:rsidR="002B1A29" w:rsidRDefault="002B1A29">
      <w:pPr>
        <w:spacing w:after="160" w:line="259" w:lineRule="auto"/>
        <w:rPr>
          <w:rFonts w:ascii="Arial" w:hAnsi="Arial" w:cs="Arial"/>
          <w:b/>
          <w:sz w:val="24"/>
          <w:szCs w:val="24"/>
        </w:rPr>
      </w:pPr>
    </w:p>
    <w:p w:rsidR="002B1A29" w:rsidRDefault="002B1A29">
      <w:pPr>
        <w:spacing w:after="160" w:line="259" w:lineRule="auto"/>
        <w:rPr>
          <w:rFonts w:ascii="Arial" w:hAnsi="Arial" w:cs="Arial"/>
          <w:b/>
          <w:sz w:val="24"/>
          <w:szCs w:val="24"/>
        </w:rPr>
      </w:pPr>
    </w:p>
    <w:p w:rsidR="002B1A29" w:rsidRDefault="002B1A29">
      <w:pPr>
        <w:spacing w:after="160" w:line="259" w:lineRule="auto"/>
        <w:rPr>
          <w:rFonts w:ascii="Arial" w:hAnsi="Arial" w:cs="Arial"/>
          <w:b/>
          <w:sz w:val="24"/>
          <w:szCs w:val="24"/>
        </w:rPr>
      </w:pPr>
    </w:p>
    <w:p w:rsidR="002B1A29" w:rsidRDefault="002B1A29">
      <w:pPr>
        <w:spacing w:after="160" w:line="259" w:lineRule="auto"/>
        <w:rPr>
          <w:rFonts w:ascii="Arial" w:hAnsi="Arial" w:cs="Arial"/>
          <w:b/>
          <w:sz w:val="24"/>
          <w:szCs w:val="24"/>
        </w:rPr>
      </w:pPr>
    </w:p>
    <w:p w:rsidR="002B1A29" w:rsidRDefault="002B1A29">
      <w:pPr>
        <w:spacing w:after="160" w:line="259" w:lineRule="auto"/>
        <w:rPr>
          <w:rFonts w:ascii="Arial" w:hAnsi="Arial" w:cs="Arial"/>
          <w:b/>
          <w:sz w:val="24"/>
          <w:szCs w:val="24"/>
        </w:rPr>
      </w:pPr>
    </w:p>
    <w:p w:rsidR="002B1A29" w:rsidRDefault="002B1A29" w:rsidP="006A7A8C">
      <w:pPr>
        <w:spacing w:line="360" w:lineRule="auto"/>
        <w:contextualSpacing/>
        <w:rPr>
          <w:rFonts w:ascii="Arial" w:eastAsiaTheme="minorHAnsi" w:hAnsi="Arial" w:cs="Arial"/>
          <w:sz w:val="24"/>
          <w:szCs w:val="24"/>
          <w:highlight w:val="yellow"/>
        </w:rPr>
      </w:pPr>
      <w:r>
        <w:rPr>
          <w:rFonts w:ascii="Arial" w:eastAsiaTheme="minorHAnsi" w:hAnsi="Arial" w:cs="Arial"/>
          <w:b/>
          <w:sz w:val="24"/>
          <w:szCs w:val="24"/>
        </w:rPr>
        <w:t xml:space="preserve">Figure S1. </w:t>
      </w:r>
      <w:r w:rsidRPr="00077C8F">
        <w:rPr>
          <w:rFonts w:ascii="Arial" w:eastAsiaTheme="minorHAnsi" w:hAnsi="Arial" w:cs="Arial"/>
          <w:sz w:val="24"/>
          <w:szCs w:val="24"/>
        </w:rPr>
        <w:t xml:space="preserve">Variables factor map of </w:t>
      </w:r>
      <w:r>
        <w:rPr>
          <w:rFonts w:ascii="Arial" w:eastAsiaTheme="minorHAnsi" w:hAnsi="Arial" w:cs="Arial"/>
          <w:sz w:val="24"/>
          <w:szCs w:val="24"/>
        </w:rPr>
        <w:t xml:space="preserve">the principal components (PCs) used to visualize differences in aggressive behavior </w:t>
      </w:r>
      <w:r w:rsidRPr="004C2753">
        <w:rPr>
          <w:rFonts w:ascii="Arial" w:eastAsiaTheme="minorHAnsi" w:hAnsi="Arial" w:cs="Arial"/>
          <w:sz w:val="24"/>
          <w:szCs w:val="24"/>
        </w:rPr>
        <w:t>and circulating androgen profiles across seasonal phenotypes following 9 weeks of treatment</w:t>
      </w:r>
      <w:r>
        <w:rPr>
          <w:rFonts w:ascii="Arial" w:eastAsiaTheme="minorHAnsi" w:hAnsi="Arial" w:cs="Arial"/>
          <w:sz w:val="24"/>
          <w:szCs w:val="24"/>
        </w:rPr>
        <w:t xml:space="preserve"> (shown in Figure 4)</w:t>
      </w:r>
      <w:r w:rsidRPr="004C2753">
        <w:rPr>
          <w:rFonts w:ascii="Arial" w:eastAsiaTheme="minorHAnsi" w:hAnsi="Arial" w:cs="Arial"/>
          <w:sz w:val="24"/>
          <w:szCs w:val="24"/>
        </w:rPr>
        <w:t xml:space="preserve">. </w:t>
      </w:r>
      <w:r>
        <w:rPr>
          <w:rFonts w:ascii="Arial" w:eastAsiaTheme="minorHAnsi" w:hAnsi="Arial" w:cs="Arial"/>
          <w:sz w:val="24"/>
          <w:szCs w:val="24"/>
        </w:rPr>
        <w:t xml:space="preserve">Positively correlated variables are grouped together on the same side of the origin, whereas negatively correlated variables are grouped on opposite sides of the origin. </w:t>
      </w:r>
      <w:r w:rsidRPr="004C2753">
        <w:rPr>
          <w:rFonts w:ascii="Arial" w:eastAsiaTheme="minorHAnsi" w:hAnsi="Arial" w:cs="Arial"/>
          <w:sz w:val="24"/>
          <w:szCs w:val="24"/>
        </w:rPr>
        <w:t xml:space="preserve">Cos2 values </w:t>
      </w:r>
      <w:r>
        <w:rPr>
          <w:rFonts w:ascii="Arial" w:eastAsiaTheme="minorHAnsi" w:hAnsi="Arial" w:cs="Arial"/>
          <w:sz w:val="24"/>
          <w:szCs w:val="24"/>
        </w:rPr>
        <w:t>represent</w:t>
      </w:r>
      <w:r w:rsidRPr="004C2753">
        <w:rPr>
          <w:rFonts w:ascii="Arial" w:eastAsiaTheme="minorHAnsi" w:hAnsi="Arial" w:cs="Arial"/>
          <w:sz w:val="24"/>
          <w:szCs w:val="24"/>
        </w:rPr>
        <w:t xml:space="preserve"> the squared cosine of a given variable and </w:t>
      </w:r>
      <w:r>
        <w:rPr>
          <w:rFonts w:ascii="Arial" w:eastAsiaTheme="minorHAnsi" w:hAnsi="Arial" w:cs="Arial"/>
          <w:sz w:val="24"/>
          <w:szCs w:val="24"/>
        </w:rPr>
        <w:t xml:space="preserve">reflect the quality of representation of this variable on the factor map. Cos2 values are represented on a gradient color scale, in which high cos2 values are in warm colors and mid and low cos2 values are in cool colors. </w:t>
      </w:r>
      <w:r>
        <w:rPr>
          <w:rFonts w:ascii="Arial" w:hAnsi="Arial" w:cs="Arial"/>
          <w:sz w:val="24"/>
          <w:szCs w:val="24"/>
        </w:rPr>
        <w:t>PC1 (“Aggression”) accounted for 29.7% of the total variance and was strongly loaded by number of attacks (“</w:t>
      </w:r>
      <w:proofErr w:type="spellStart"/>
      <w:r>
        <w:rPr>
          <w:rFonts w:ascii="Arial" w:hAnsi="Arial" w:cs="Arial"/>
          <w:sz w:val="24"/>
          <w:szCs w:val="24"/>
        </w:rPr>
        <w:t>NumberAttacks</w:t>
      </w:r>
      <w:proofErr w:type="spellEnd"/>
      <w:r>
        <w:rPr>
          <w:rFonts w:ascii="Arial" w:hAnsi="Arial" w:cs="Arial"/>
          <w:sz w:val="24"/>
          <w:szCs w:val="24"/>
        </w:rPr>
        <w:t xml:space="preserve">”), attack </w:t>
      </w:r>
      <w:r w:rsidRPr="007E407E">
        <w:rPr>
          <w:rFonts w:ascii="Arial" w:hAnsi="Arial" w:cs="Arial"/>
          <w:sz w:val="24"/>
          <w:szCs w:val="24"/>
        </w:rPr>
        <w:t>duration</w:t>
      </w:r>
      <w:r>
        <w:rPr>
          <w:rFonts w:ascii="Arial" w:hAnsi="Arial" w:cs="Arial"/>
          <w:sz w:val="24"/>
          <w:szCs w:val="24"/>
        </w:rPr>
        <w:t xml:space="preserve"> (“</w:t>
      </w:r>
      <w:proofErr w:type="spellStart"/>
      <w:r>
        <w:rPr>
          <w:rFonts w:ascii="Arial" w:hAnsi="Arial" w:cs="Arial"/>
          <w:sz w:val="24"/>
          <w:szCs w:val="24"/>
        </w:rPr>
        <w:t>AttackDuration</w:t>
      </w:r>
      <w:proofErr w:type="spellEnd"/>
      <w:r>
        <w:rPr>
          <w:rFonts w:ascii="Arial" w:hAnsi="Arial" w:cs="Arial"/>
          <w:sz w:val="24"/>
          <w:szCs w:val="24"/>
        </w:rPr>
        <w:t>”)</w:t>
      </w:r>
      <w:r w:rsidRPr="007E407E">
        <w:rPr>
          <w:rFonts w:ascii="Arial" w:hAnsi="Arial" w:cs="Arial"/>
          <w:sz w:val="24"/>
          <w:szCs w:val="24"/>
        </w:rPr>
        <w:t>, number of chases</w:t>
      </w:r>
      <w:r>
        <w:rPr>
          <w:rFonts w:ascii="Arial" w:hAnsi="Arial" w:cs="Arial"/>
          <w:sz w:val="24"/>
          <w:szCs w:val="24"/>
        </w:rPr>
        <w:t xml:space="preserve"> (“</w:t>
      </w:r>
      <w:proofErr w:type="spellStart"/>
      <w:r>
        <w:rPr>
          <w:rFonts w:ascii="Arial" w:hAnsi="Arial" w:cs="Arial"/>
          <w:sz w:val="24"/>
          <w:szCs w:val="24"/>
        </w:rPr>
        <w:t>NumberChases</w:t>
      </w:r>
      <w:proofErr w:type="spellEnd"/>
      <w:r>
        <w:rPr>
          <w:rFonts w:ascii="Arial" w:hAnsi="Arial" w:cs="Arial"/>
          <w:sz w:val="24"/>
          <w:szCs w:val="24"/>
        </w:rPr>
        <w:t>”)</w:t>
      </w:r>
      <w:r w:rsidRPr="007E407E">
        <w:rPr>
          <w:rFonts w:ascii="Arial" w:hAnsi="Arial" w:cs="Arial"/>
          <w:sz w:val="24"/>
          <w:szCs w:val="24"/>
        </w:rPr>
        <w:t>, chase duration</w:t>
      </w:r>
      <w:r>
        <w:rPr>
          <w:rFonts w:ascii="Arial" w:hAnsi="Arial" w:cs="Arial"/>
          <w:sz w:val="24"/>
          <w:szCs w:val="24"/>
        </w:rPr>
        <w:t xml:space="preserve"> (“</w:t>
      </w:r>
      <w:proofErr w:type="spellStart"/>
      <w:r>
        <w:rPr>
          <w:rFonts w:ascii="Arial" w:hAnsi="Arial" w:cs="Arial"/>
          <w:sz w:val="24"/>
          <w:szCs w:val="24"/>
        </w:rPr>
        <w:t>ChaseDuration</w:t>
      </w:r>
      <w:proofErr w:type="spellEnd"/>
      <w:r>
        <w:rPr>
          <w:rFonts w:ascii="Arial" w:hAnsi="Arial" w:cs="Arial"/>
          <w:sz w:val="24"/>
          <w:szCs w:val="24"/>
        </w:rPr>
        <w:t>”), and ∆T (“</w:t>
      </w:r>
      <w:proofErr w:type="spellStart"/>
      <w:r>
        <w:rPr>
          <w:rFonts w:ascii="Arial" w:hAnsi="Arial" w:cs="Arial"/>
          <w:sz w:val="24"/>
          <w:szCs w:val="24"/>
        </w:rPr>
        <w:t>DeltaT</w:t>
      </w:r>
      <w:proofErr w:type="spellEnd"/>
      <w:r>
        <w:rPr>
          <w:rFonts w:ascii="Arial" w:hAnsi="Arial" w:cs="Arial"/>
          <w:sz w:val="24"/>
          <w:szCs w:val="24"/>
        </w:rPr>
        <w:t>”)</w:t>
      </w:r>
      <w:r w:rsidRPr="007E407E">
        <w:rPr>
          <w:rFonts w:ascii="Arial" w:hAnsi="Arial" w:cs="Arial"/>
          <w:sz w:val="24"/>
          <w:szCs w:val="24"/>
        </w:rPr>
        <w:t xml:space="preserve">.  PC3 </w:t>
      </w:r>
      <w:r>
        <w:rPr>
          <w:rFonts w:ascii="Arial" w:hAnsi="Arial" w:cs="Arial"/>
          <w:sz w:val="24"/>
          <w:szCs w:val="24"/>
        </w:rPr>
        <w:t>(“Circulating Androgens”) accounted for 15.0</w:t>
      </w:r>
      <w:r w:rsidRPr="007E407E">
        <w:rPr>
          <w:rFonts w:ascii="Arial" w:hAnsi="Arial" w:cs="Arial"/>
          <w:sz w:val="24"/>
          <w:szCs w:val="24"/>
        </w:rPr>
        <w:t xml:space="preserve">% of the total variance and was strongly </w:t>
      </w:r>
      <w:r>
        <w:rPr>
          <w:rFonts w:ascii="Arial" w:hAnsi="Arial" w:cs="Arial"/>
          <w:sz w:val="24"/>
          <w:szCs w:val="24"/>
        </w:rPr>
        <w:t>loaded</w:t>
      </w:r>
      <w:r w:rsidRPr="007E407E">
        <w:rPr>
          <w:rFonts w:ascii="Arial" w:hAnsi="Arial" w:cs="Arial"/>
          <w:sz w:val="24"/>
          <w:szCs w:val="24"/>
        </w:rPr>
        <w:t xml:space="preserve"> by basal DHEA</w:t>
      </w:r>
      <w:r>
        <w:rPr>
          <w:rFonts w:ascii="Arial" w:hAnsi="Arial" w:cs="Arial"/>
          <w:sz w:val="24"/>
          <w:szCs w:val="24"/>
        </w:rPr>
        <w:t xml:space="preserve"> (“DHEA”)</w:t>
      </w:r>
      <w:r w:rsidRPr="007E407E">
        <w:rPr>
          <w:rFonts w:ascii="Arial" w:hAnsi="Arial" w:cs="Arial"/>
          <w:sz w:val="24"/>
          <w:szCs w:val="24"/>
        </w:rPr>
        <w:t>, basal T</w:t>
      </w:r>
      <w:r>
        <w:rPr>
          <w:rFonts w:ascii="Arial" w:hAnsi="Arial" w:cs="Arial"/>
          <w:sz w:val="24"/>
          <w:szCs w:val="24"/>
        </w:rPr>
        <w:t xml:space="preserve"> (“T)</w:t>
      </w:r>
      <w:r w:rsidRPr="007E407E">
        <w:rPr>
          <w:rFonts w:ascii="Arial" w:hAnsi="Arial" w:cs="Arial"/>
          <w:sz w:val="24"/>
          <w:szCs w:val="24"/>
        </w:rPr>
        <w:t>, ∆DHEA</w:t>
      </w:r>
      <w:r>
        <w:rPr>
          <w:rFonts w:ascii="Arial" w:hAnsi="Arial" w:cs="Arial"/>
          <w:sz w:val="24"/>
          <w:szCs w:val="24"/>
        </w:rPr>
        <w:t xml:space="preserve"> (“</w:t>
      </w:r>
      <w:proofErr w:type="spellStart"/>
      <w:r>
        <w:rPr>
          <w:rFonts w:ascii="Arial" w:hAnsi="Arial" w:cs="Arial"/>
          <w:sz w:val="24"/>
          <w:szCs w:val="24"/>
        </w:rPr>
        <w:t>DeltaDHEA</w:t>
      </w:r>
      <w:proofErr w:type="spellEnd"/>
      <w:r>
        <w:rPr>
          <w:rFonts w:ascii="Arial" w:hAnsi="Arial" w:cs="Arial"/>
          <w:sz w:val="24"/>
          <w:szCs w:val="24"/>
        </w:rPr>
        <w:t>”)</w:t>
      </w:r>
      <w:r w:rsidRPr="007E407E">
        <w:rPr>
          <w:rFonts w:ascii="Arial" w:hAnsi="Arial" w:cs="Arial"/>
          <w:sz w:val="24"/>
          <w:szCs w:val="24"/>
        </w:rPr>
        <w:t>, and attack duration</w:t>
      </w:r>
      <w:r>
        <w:rPr>
          <w:rFonts w:ascii="Arial" w:eastAsiaTheme="minorHAnsi" w:hAnsi="Arial" w:cs="Arial"/>
          <w:sz w:val="24"/>
          <w:szCs w:val="24"/>
        </w:rPr>
        <w:t>.</w:t>
      </w:r>
    </w:p>
    <w:p w:rsidR="002B1A29" w:rsidRDefault="002B1A29">
      <w:pPr>
        <w:spacing w:after="160" w:line="259" w:lineRule="auto"/>
        <w:rPr>
          <w:rFonts w:ascii="Arial" w:eastAsiaTheme="minorHAnsi" w:hAnsi="Arial" w:cs="Arial"/>
          <w:sz w:val="24"/>
          <w:szCs w:val="24"/>
          <w:highlight w:val="yellow"/>
        </w:rPr>
      </w:pPr>
      <w:r>
        <w:rPr>
          <w:rFonts w:ascii="Arial" w:eastAsiaTheme="minorHAnsi" w:hAnsi="Arial" w:cs="Arial"/>
          <w:sz w:val="24"/>
          <w:szCs w:val="24"/>
          <w:highlight w:val="yellow"/>
        </w:rPr>
        <w:br w:type="page"/>
      </w:r>
    </w:p>
    <w:p w:rsidR="002B1A29" w:rsidRDefault="002B1A29" w:rsidP="005A0E46">
      <w:pPr>
        <w:spacing w:line="240" w:lineRule="auto"/>
        <w:contextualSpacing/>
        <w:rPr>
          <w:rFonts w:ascii="Arial" w:hAnsi="Arial" w:cs="Arial"/>
          <w:b/>
          <w:sz w:val="24"/>
          <w:szCs w:val="24"/>
        </w:rPr>
      </w:pPr>
      <w:r w:rsidRPr="006A7A8C">
        <w:rPr>
          <w:rFonts w:ascii="Arial" w:hAnsi="Arial" w:cs="Arial"/>
          <w:b/>
          <w:sz w:val="24"/>
          <w:szCs w:val="24"/>
        </w:rPr>
        <w:lastRenderedPageBreak/>
        <w:t>REFERENCES</w:t>
      </w:r>
    </w:p>
    <w:p w:rsidR="002B1A29" w:rsidRDefault="002B1A29" w:rsidP="005A0E46">
      <w:pPr>
        <w:spacing w:line="240" w:lineRule="auto"/>
        <w:contextualSpacing/>
        <w:rPr>
          <w:rFonts w:ascii="Arial" w:hAnsi="Arial" w:cs="Arial"/>
          <w:b/>
          <w:sz w:val="24"/>
          <w:szCs w:val="24"/>
        </w:rPr>
      </w:pPr>
    </w:p>
    <w:p w:rsidR="002B1A29" w:rsidRPr="00903E6E" w:rsidRDefault="002B1A29" w:rsidP="00903E6E">
      <w:pPr>
        <w:pStyle w:val="EndNoteBibliography"/>
        <w:spacing w:after="240"/>
        <w:ind w:left="720" w:hanging="720"/>
      </w:pPr>
      <w:r w:rsidRPr="00903E6E">
        <w:t>Jasnow, A.M., Huhman, K.L., Bartness, T.J., Demas, G.E., 2000. Short-day increases in aggression are inversely related to circulating testosterone concentrations in male Siberian hamsters (</w:t>
      </w:r>
      <w:r w:rsidRPr="00903E6E">
        <w:rPr>
          <w:i/>
        </w:rPr>
        <w:t>Phodopus sungorus</w:t>
      </w:r>
      <w:r w:rsidRPr="00903E6E">
        <w:t>). Hormones and Behavior 38, 102-110.</w:t>
      </w:r>
    </w:p>
    <w:p w:rsidR="002B1A29" w:rsidRPr="00903E6E" w:rsidRDefault="002B1A29" w:rsidP="00903E6E">
      <w:pPr>
        <w:pStyle w:val="EndNoteBibliography"/>
        <w:ind w:left="720" w:hanging="720"/>
      </w:pPr>
      <w:r w:rsidRPr="00903E6E">
        <w:t xml:space="preserve">Scotti, </w:t>
      </w:r>
      <w:r w:rsidR="001E2AE7">
        <w:t>M.A., Rendon, N.M., Greives, T.J</w:t>
      </w:r>
      <w:r w:rsidRPr="00903E6E">
        <w:t>., Romeo, R.D., Demas, G.E., 2015. Short-day aggression is independent of changes in cortisol or glucocorticoid receptors in male Siberian hamsters (</w:t>
      </w:r>
      <w:r w:rsidRPr="00903E6E">
        <w:rPr>
          <w:i/>
        </w:rPr>
        <w:t>Phodopus sungorus</w:t>
      </w:r>
      <w:r w:rsidRPr="00903E6E">
        <w:t>). Journal of Experimental Zoology Part A: Ecological Genetics and Physiology 323, 331-341.</w:t>
      </w:r>
    </w:p>
    <w:p w:rsidR="002B1A29" w:rsidRPr="006A7A8C" w:rsidRDefault="002B1A29" w:rsidP="00633D66">
      <w:pPr>
        <w:spacing w:line="240" w:lineRule="auto"/>
        <w:contextualSpacing/>
        <w:rPr>
          <w:rFonts w:ascii="Arial" w:hAnsi="Arial" w:cs="Arial"/>
          <w:b/>
          <w:sz w:val="24"/>
          <w:szCs w:val="24"/>
        </w:rPr>
      </w:pPr>
    </w:p>
    <w:p w:rsidR="00AE1DFC" w:rsidRDefault="00AE1DFC"/>
    <w:sectPr w:rsidR="00AE1DFC" w:rsidSect="0052349C">
      <w:footerReference w:type="default" r:id="rId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2"/>
        <w:szCs w:val="22"/>
      </w:rPr>
      <w:id w:val="1714767222"/>
      <w:docPartObj>
        <w:docPartGallery w:val="Page Numbers (Bottom of Page)"/>
        <w:docPartUnique/>
      </w:docPartObj>
    </w:sdtPr>
    <w:sdtEndPr>
      <w:rPr>
        <w:noProof/>
      </w:rPr>
    </w:sdtEndPr>
    <w:sdtContent>
      <w:p w:rsidR="0052094E" w:rsidRPr="00C33222" w:rsidRDefault="001E2AE7">
        <w:pPr>
          <w:pStyle w:val="Footer"/>
          <w:jc w:val="right"/>
          <w:rPr>
            <w:rFonts w:ascii="Arial" w:hAnsi="Arial" w:cs="Arial"/>
            <w:sz w:val="22"/>
            <w:szCs w:val="22"/>
          </w:rPr>
        </w:pPr>
        <w:r w:rsidRPr="00C33222">
          <w:rPr>
            <w:rFonts w:ascii="Arial" w:hAnsi="Arial" w:cs="Arial"/>
            <w:sz w:val="22"/>
            <w:szCs w:val="22"/>
          </w:rPr>
          <w:fldChar w:fldCharType="begin"/>
        </w:r>
        <w:r w:rsidRPr="00C33222">
          <w:rPr>
            <w:rFonts w:ascii="Arial" w:hAnsi="Arial" w:cs="Arial"/>
            <w:sz w:val="22"/>
            <w:szCs w:val="22"/>
          </w:rPr>
          <w:instrText xml:space="preserve"> PAGE   \* MERGEFORMAT </w:instrText>
        </w:r>
        <w:r w:rsidRPr="00C33222">
          <w:rPr>
            <w:rFonts w:ascii="Arial" w:hAnsi="Arial" w:cs="Arial"/>
            <w:sz w:val="22"/>
            <w:szCs w:val="22"/>
          </w:rPr>
          <w:fldChar w:fldCharType="separate"/>
        </w:r>
        <w:r>
          <w:rPr>
            <w:rFonts w:ascii="Arial" w:hAnsi="Arial" w:cs="Arial"/>
            <w:noProof/>
            <w:sz w:val="22"/>
            <w:szCs w:val="22"/>
          </w:rPr>
          <w:t>1</w:t>
        </w:r>
        <w:r w:rsidRPr="00C33222">
          <w:rPr>
            <w:rFonts w:ascii="Arial" w:hAnsi="Arial" w:cs="Arial"/>
            <w:noProof/>
            <w:sz w:val="22"/>
            <w:szCs w:val="22"/>
          </w:rPr>
          <w:fldChar w:fldCharType="end"/>
        </w:r>
      </w:p>
    </w:sdtContent>
  </w:sdt>
  <w:p w:rsidR="0052094E" w:rsidRDefault="001E2AE7">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54EAE93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E064D96"/>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B1C4240"/>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FD4E5952"/>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8168EFE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5342CA"/>
    <w:multiLevelType w:val="hybridMultilevel"/>
    <w:tmpl w:val="FEF6A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B56EB1"/>
    <w:multiLevelType w:val="hybridMultilevel"/>
    <w:tmpl w:val="A9A6F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686E11"/>
    <w:multiLevelType w:val="hybridMultilevel"/>
    <w:tmpl w:val="A4F4D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3024D5"/>
    <w:multiLevelType w:val="hybridMultilevel"/>
    <w:tmpl w:val="66566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1D5C0E"/>
    <w:multiLevelType w:val="hybridMultilevel"/>
    <w:tmpl w:val="81121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6A545D"/>
    <w:multiLevelType w:val="hybridMultilevel"/>
    <w:tmpl w:val="7D442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9"/>
  </w:num>
  <w:num w:numId="5">
    <w:abstractNumId w:val="7"/>
  </w:num>
  <w:num w:numId="6">
    <w:abstractNumId w:val="10"/>
  </w:num>
  <w:num w:numId="7">
    <w:abstractNumId w:val="5"/>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0&lt;/ScanUnformatted&gt;&lt;ScanChanges&gt;1&lt;/ScanChanges&gt;&lt;Suspended&gt;1&lt;/Suspended&gt;&lt;/ENInstantFormat&gt;"/>
  </w:docVars>
  <w:rsids>
    <w:rsidRoot w:val="002B1A29"/>
    <w:rsid w:val="001E2AE7"/>
    <w:rsid w:val="002B1A29"/>
    <w:rsid w:val="005E19EF"/>
    <w:rsid w:val="00AE1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3E392-A27E-42E2-BF7F-D306A28A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A29"/>
    <w:pPr>
      <w:spacing w:after="120" w:line="264" w:lineRule="auto"/>
    </w:pPr>
    <w:rPr>
      <w:rFonts w:eastAsiaTheme="minorEastAsia"/>
      <w:sz w:val="20"/>
      <w:szCs w:val="20"/>
    </w:rPr>
  </w:style>
  <w:style w:type="character" w:default="1" w:styleId="DefaultParagraphFont">
    <w:name w:val="Default Paragraph Font"/>
    <w:uiPriority w:val="1"/>
    <w:semiHidden/>
    <w:unhideWhenUsed/>
    <w:rsid w:val="002B1A2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B1A29"/>
  </w:style>
  <w:style w:type="table" w:styleId="TableGrid">
    <w:name w:val="Table Grid"/>
    <w:basedOn w:val="TableNormal"/>
    <w:uiPriority w:val="39"/>
    <w:rsid w:val="002B1A29"/>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unhideWhenUsed/>
    <w:rsid w:val="002B1A29"/>
    <w:rPr>
      <w:rFonts w:ascii="Arial" w:hAnsi="Arial"/>
    </w:rPr>
  </w:style>
  <w:style w:type="paragraph" w:styleId="Header">
    <w:name w:val="header"/>
    <w:basedOn w:val="Normal"/>
    <w:link w:val="HeaderChar"/>
    <w:uiPriority w:val="99"/>
    <w:unhideWhenUsed/>
    <w:rsid w:val="002B1A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A29"/>
    <w:rPr>
      <w:rFonts w:eastAsiaTheme="minorEastAsia"/>
      <w:sz w:val="20"/>
      <w:szCs w:val="20"/>
    </w:rPr>
  </w:style>
  <w:style w:type="paragraph" w:styleId="Footer">
    <w:name w:val="footer"/>
    <w:basedOn w:val="Normal"/>
    <w:link w:val="FooterChar"/>
    <w:uiPriority w:val="99"/>
    <w:unhideWhenUsed/>
    <w:rsid w:val="002B1A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A29"/>
    <w:rPr>
      <w:rFonts w:eastAsiaTheme="minorEastAsia"/>
      <w:sz w:val="20"/>
      <w:szCs w:val="20"/>
    </w:rPr>
  </w:style>
  <w:style w:type="paragraph" w:styleId="ListParagraph">
    <w:name w:val="List Paragraph"/>
    <w:basedOn w:val="Normal"/>
    <w:uiPriority w:val="34"/>
    <w:qFormat/>
    <w:rsid w:val="002B1A29"/>
    <w:pPr>
      <w:spacing w:after="160" w:line="259" w:lineRule="auto"/>
      <w:ind w:left="720"/>
      <w:contextualSpacing/>
    </w:pPr>
    <w:rPr>
      <w:rFonts w:eastAsiaTheme="minorHAnsi"/>
      <w:sz w:val="22"/>
      <w:szCs w:val="22"/>
    </w:rPr>
  </w:style>
  <w:style w:type="paragraph" w:styleId="BalloonText">
    <w:name w:val="Balloon Text"/>
    <w:basedOn w:val="Normal"/>
    <w:link w:val="BalloonTextChar"/>
    <w:uiPriority w:val="99"/>
    <w:semiHidden/>
    <w:unhideWhenUsed/>
    <w:rsid w:val="002B1A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A29"/>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2B1A29"/>
    <w:rPr>
      <w:sz w:val="16"/>
      <w:szCs w:val="16"/>
    </w:rPr>
  </w:style>
  <w:style w:type="paragraph" w:styleId="CommentText">
    <w:name w:val="annotation text"/>
    <w:basedOn w:val="Normal"/>
    <w:link w:val="CommentTextChar"/>
    <w:uiPriority w:val="99"/>
    <w:semiHidden/>
    <w:unhideWhenUsed/>
    <w:rsid w:val="002B1A29"/>
    <w:pPr>
      <w:spacing w:line="240" w:lineRule="auto"/>
    </w:pPr>
  </w:style>
  <w:style w:type="character" w:customStyle="1" w:styleId="CommentTextChar">
    <w:name w:val="Comment Text Char"/>
    <w:basedOn w:val="DefaultParagraphFont"/>
    <w:link w:val="CommentText"/>
    <w:uiPriority w:val="99"/>
    <w:semiHidden/>
    <w:rsid w:val="002B1A2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B1A29"/>
    <w:rPr>
      <w:b/>
      <w:bCs/>
    </w:rPr>
  </w:style>
  <w:style w:type="character" w:customStyle="1" w:styleId="CommentSubjectChar">
    <w:name w:val="Comment Subject Char"/>
    <w:basedOn w:val="CommentTextChar"/>
    <w:link w:val="CommentSubject"/>
    <w:uiPriority w:val="99"/>
    <w:semiHidden/>
    <w:rsid w:val="002B1A29"/>
    <w:rPr>
      <w:rFonts w:eastAsiaTheme="minorEastAsia"/>
      <w:b/>
      <w:bCs/>
      <w:sz w:val="20"/>
      <w:szCs w:val="20"/>
    </w:rPr>
  </w:style>
  <w:style w:type="character" w:styleId="Hyperlink">
    <w:name w:val="Hyperlink"/>
    <w:basedOn w:val="DefaultParagraphFont"/>
    <w:uiPriority w:val="99"/>
    <w:unhideWhenUsed/>
    <w:rsid w:val="002B1A29"/>
    <w:rPr>
      <w:color w:val="0563C1" w:themeColor="hyperlink"/>
      <w:u w:val="single"/>
    </w:rPr>
  </w:style>
  <w:style w:type="paragraph" w:customStyle="1" w:styleId="EndNoteBibliographyTitle">
    <w:name w:val="EndNote Bibliography Title"/>
    <w:basedOn w:val="Normal"/>
    <w:link w:val="EndNoteBibliographyTitleChar"/>
    <w:rsid w:val="002B1A29"/>
    <w:pPr>
      <w:spacing w:after="0"/>
      <w:jc w:val="center"/>
    </w:pPr>
    <w:rPr>
      <w:rFonts w:ascii="Arial" w:hAnsi="Arial" w:cs="Arial"/>
      <w:noProof/>
      <w:sz w:val="24"/>
    </w:rPr>
  </w:style>
  <w:style w:type="character" w:customStyle="1" w:styleId="EndNoteBibliographyTitleChar">
    <w:name w:val="EndNote Bibliography Title Char"/>
    <w:basedOn w:val="DefaultParagraphFont"/>
    <w:link w:val="EndNoteBibliographyTitle"/>
    <w:rsid w:val="002B1A29"/>
    <w:rPr>
      <w:rFonts w:ascii="Arial" w:eastAsiaTheme="minorEastAsia" w:hAnsi="Arial" w:cs="Arial"/>
      <w:noProof/>
      <w:sz w:val="24"/>
      <w:szCs w:val="20"/>
    </w:rPr>
  </w:style>
  <w:style w:type="paragraph" w:customStyle="1" w:styleId="EndNoteBibliography">
    <w:name w:val="EndNote Bibliography"/>
    <w:basedOn w:val="Normal"/>
    <w:link w:val="EndNoteBibliographyChar"/>
    <w:rsid w:val="002B1A29"/>
    <w:pPr>
      <w:spacing w:line="240" w:lineRule="auto"/>
    </w:pPr>
    <w:rPr>
      <w:rFonts w:ascii="Arial" w:hAnsi="Arial" w:cs="Arial"/>
      <w:noProof/>
      <w:sz w:val="24"/>
    </w:rPr>
  </w:style>
  <w:style w:type="character" w:customStyle="1" w:styleId="EndNoteBibliographyChar">
    <w:name w:val="EndNote Bibliography Char"/>
    <w:basedOn w:val="DefaultParagraphFont"/>
    <w:link w:val="EndNoteBibliography"/>
    <w:rsid w:val="002B1A29"/>
    <w:rPr>
      <w:rFonts w:ascii="Arial" w:eastAsiaTheme="minorEastAsia" w:hAnsi="Arial" w:cs="Arial"/>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Munley</dc:creator>
  <cp:keywords/>
  <dc:description/>
  <cp:lastModifiedBy>Kathleen Munley</cp:lastModifiedBy>
  <cp:revision>2</cp:revision>
  <dcterms:created xsi:type="dcterms:W3CDTF">2019-09-30T00:37:00Z</dcterms:created>
  <dcterms:modified xsi:type="dcterms:W3CDTF">2019-09-30T00:37:00Z</dcterms:modified>
</cp:coreProperties>
</file>